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p>
      <w:pPr>
        <w:ind w:left="580" w:right="140" w:hanging="572"/>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80" w:right="140" w:hanging="572"/>
        <w:spacing w:after="0" w:line="262" w:lineRule="auto"/>
        <w:tabs>
          <w:tab w:leader="none" w:pos="5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DELAWARE</w:t>
            </w:r>
          </w:p>
        </w:tc>
        <w:tc>
          <w:tcPr>
            <w:tcW w:w="1940" w:type="dxa"/>
            <w:vAlign w:val="bottom"/>
          </w:tcPr>
          <w:p>
            <w:pPr>
              <w:spacing w:after="0"/>
              <w:rPr>
                <w:sz w:val="18"/>
                <w:szCs w:val="18"/>
                <w:color w:val="auto"/>
              </w:rPr>
            </w:pPr>
          </w:p>
        </w:tc>
        <w:tc>
          <w:tcPr>
            <w:tcW w:w="4500" w:type="dxa"/>
            <w:vAlign w:val="bottom"/>
            <w:gridSpan w:val="2"/>
          </w:tcPr>
          <w:p>
            <w:pPr>
              <w:jc w:val="right"/>
              <w:ind w:right="1344"/>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49"/>
        </w:trPr>
        <w:tc>
          <w:tcPr>
            <w:tcW w:w="4800" w:type="dxa"/>
            <w:vAlign w:val="bottom"/>
            <w:gridSpan w:val="3"/>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0" w:type="dxa"/>
            <w:vAlign w:val="bottom"/>
          </w:tcPr>
          <w:p>
            <w:pPr>
              <w:jc w:val="center"/>
              <w:ind w:left="24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00" w:type="dxa"/>
            <w:vAlign w:val="bottom"/>
            <w:gridSpan w:val="3"/>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609"/>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4 Kingsbury Avenue</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14"/>
        </w:trPr>
        <w:tc>
          <w:tcPr>
            <w:tcW w:w="480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1940" w:type="dxa"/>
            <w:vAlign w:val="bottom"/>
          </w:tcPr>
          <w:p>
            <w:pPr>
              <w:spacing w:after="0"/>
              <w:rPr>
                <w:sz w:val="18"/>
                <w:szCs w:val="18"/>
                <w:color w:val="auto"/>
              </w:rPr>
            </w:pPr>
          </w:p>
        </w:tc>
        <w:tc>
          <w:tcPr>
            <w:tcW w:w="4500" w:type="dxa"/>
            <w:vAlign w:val="bottom"/>
            <w:gridSpan w:val="2"/>
          </w:tcPr>
          <w:p>
            <w:pPr>
              <w:jc w:val="right"/>
              <w:ind w:right="154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80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1240" w:type="dxa"/>
            <w:vAlign w:val="bottom"/>
            <w:gridSpan w:val="6"/>
          </w:tcPr>
          <w:p>
            <w:pPr>
              <w:ind w:left="29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607-0800</w:t>
            </w:r>
          </w:p>
        </w:tc>
      </w:tr>
      <w:tr>
        <w:trPr>
          <w:trHeight w:val="135"/>
        </w:trPr>
        <w:tc>
          <w:tcPr>
            <w:tcW w:w="3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0" w:type="dxa"/>
            <w:vAlign w:val="bottom"/>
          </w:tcPr>
          <w:p>
            <w:pPr>
              <w:spacing w:after="0"/>
              <w:rPr>
                <w:sz w:val="11"/>
                <w:szCs w:val="11"/>
                <w:color w:val="auto"/>
              </w:rPr>
            </w:pPr>
          </w:p>
        </w:tc>
      </w:tr>
      <w:tr>
        <w:trPr>
          <w:trHeight w:val="287"/>
        </w:trPr>
        <w:tc>
          <w:tcPr>
            <w:tcW w:w="48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16"/>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8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500" w:type="dxa"/>
            <w:vAlign w:val="bottom"/>
            <w:tcBorders>
              <w:bottom w:val="single" w:sz="8" w:color="auto"/>
              <w:right w:val="single" w:sz="8" w:color="auto"/>
            </w:tcBorders>
          </w:tcPr>
          <w:p>
            <w:pPr>
              <w:spacing w:after="0"/>
              <w:rPr>
                <w:sz w:val="18"/>
                <w:szCs w:val="18"/>
                <w:color w:val="auto"/>
              </w:rPr>
            </w:pPr>
          </w:p>
        </w:tc>
        <w:tc>
          <w:tcPr>
            <w:tcW w:w="4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0"/>
        </w:trPr>
        <w:tc>
          <w:tcPr>
            <w:tcW w:w="3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980" w:type="dxa"/>
            <w:vAlign w:val="bottom"/>
            <w:gridSpan w:val="2"/>
          </w:tcPr>
          <w:p>
            <w:pPr>
              <w:spacing w:after="0"/>
              <w:rPr>
                <w:sz w:val="19"/>
                <w:szCs w:val="19"/>
                <w:color w:val="auto"/>
              </w:rPr>
            </w:pPr>
          </w:p>
        </w:tc>
        <w:tc>
          <w:tcPr>
            <w:tcW w:w="1940" w:type="dxa"/>
            <w:vAlign w:val="bottom"/>
          </w:tcPr>
          <w:p>
            <w:pPr>
              <w:jc w:val="center"/>
              <w:ind w:right="459"/>
              <w:spacing w:after="0"/>
              <w:rPr>
                <w:sz w:val="20"/>
                <w:szCs w:val="20"/>
                <w:color w:val="auto"/>
              </w:rPr>
            </w:pPr>
            <w:r>
              <w:rPr>
                <w:rFonts w:ascii="Times New Roman" w:cs="Times New Roman" w:eastAsia="Times New Roman" w:hAnsi="Times New Roman"/>
                <w:sz w:val="18"/>
                <w:szCs w:val="18"/>
                <w:color w:val="auto"/>
                <w:w w:val="99"/>
              </w:rPr>
              <w:t>ENTA</w:t>
            </w:r>
          </w:p>
        </w:tc>
        <w:tc>
          <w:tcPr>
            <w:tcW w:w="50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54"/>
        </w:trPr>
        <w:tc>
          <w:tcPr>
            <w:tcW w:w="3820" w:type="dxa"/>
            <w:vAlign w:val="bottom"/>
            <w:tcBorders>
              <w:left w:val="single" w:sz="8" w:color="auto"/>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500" w:type="dxa"/>
            <w:vAlign w:val="bottom"/>
            <w:tcBorders>
              <w:bottom w:val="single" w:sz="8" w:color="auto"/>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r>
    </w:tbl>
    <w:p>
      <w:pPr>
        <w:spacing w:after="0" w:line="9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2" w:lineRule="exact"/>
        <w:rPr>
          <w:sz w:val="24"/>
          <w:szCs w:val="24"/>
          <w:color w:val="auto"/>
        </w:rPr>
      </w:pPr>
    </w:p>
    <w:p>
      <w:pPr>
        <w:jc w:val="both"/>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520" w:right="11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5, 2026, the registrant had 29,078,380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rPr>
              <w:t>UNAUDITED 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4"/>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20" w:type="dxa"/>
            <w:vAlign w:val="bottom"/>
            <w:tcBorders>
              <w:right w:val="single" w:sz="8" w:color="0000EE"/>
            </w:tcBorders>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7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0" w:type="dxa"/>
            <w:vAlign w:val="bottom"/>
            <w:tcBorders>
              <w:left w:val="single" w:sz="8" w:color="0000FF"/>
            </w:tcBorders>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“on track,” “plan,” “potentially,” “predict,” “project,” “should,” “will” or the negative of these terms or other similar expressions. We caution you that the foregoing list may not encompass all of the forward-looking statements made in this Quarterly Report.</w:t>
      </w:r>
    </w:p>
    <w:p>
      <w:pPr>
        <w:spacing w:after="0" w:line="77"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8"/>
          <w:szCs w:val="18"/>
          <w:i w:val="1"/>
          <w:iCs w:val="1"/>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2025 and as updated in Item 1A herein.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I—UNAUDITED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7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32,298</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156,566</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receivable</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178,412</w:t>
            </w: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204,336</w:t>
            </w:r>
          </w:p>
        </w:tc>
        <w:tc>
          <w:tcPr>
            <w:tcW w:w="120" w:type="dxa"/>
            <w:vAlign w:val="bottom"/>
            <w:tcBorders>
              <w:top w:val="single" w:sz="8" w:color="CFF0FC"/>
            </w:tcBorders>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314,704</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280,732</w:t>
            </w:r>
          </w:p>
        </w:tc>
        <w:tc>
          <w:tcPr>
            <w:tcW w:w="12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Pr>
          <w:p>
            <w:pPr>
              <w:spacing w:after="0"/>
              <w:rPr>
                <w:sz w:val="18"/>
                <w:szCs w:val="18"/>
                <w:color w:val="auto"/>
              </w:rPr>
            </w:pPr>
          </w:p>
        </w:tc>
      </w:tr>
      <w:tr>
        <w:trPr>
          <w:trHeight w:val="209"/>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48,555</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net of current portion</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111,132</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54,757</w:t>
            </w: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8"/>
                <w:szCs w:val="18"/>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216,015</w:t>
            </w:r>
          </w:p>
        </w:tc>
        <w:tc>
          <w:tcPr>
            <w:tcW w:w="120" w:type="dxa"/>
            <w:vAlign w:val="bottom"/>
          </w:tcPr>
          <w:p>
            <w:pPr>
              <w:spacing w:after="0"/>
              <w:rPr>
                <w:sz w:val="18"/>
                <w:szCs w:val="18"/>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5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100,000 shares authorized;</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29,061 and 21,387 shares issued and outstanding at March 31, 2026</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and September 30, 2025 respectively</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FF0FC"/>
          </w:tcPr>
          <w:p>
            <w:pPr>
              <w:spacing w:after="0"/>
              <w:rPr>
                <w:sz w:val="20"/>
                <w:szCs w:val="20"/>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469,771</w:t>
            </w:r>
          </w:p>
        </w:tc>
        <w:tc>
          <w:tcPr>
            <w:tcW w:w="12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(429,958)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(404,929)</w:t>
            </w:r>
          </w:p>
        </w:tc>
      </w:tr>
      <w:tr>
        <w:trPr>
          <w:trHeight w:val="210"/>
        </w:trPr>
        <w:tc>
          <w:tcPr>
            <w:tcW w:w="75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116,587</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314,704</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280,732</w:t>
            </w:r>
          </w:p>
        </w:tc>
        <w:tc>
          <w:tcPr>
            <w:tcW w:w="12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-4088130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-4088130</wp:posOffset>
            </wp:positionV>
            <wp:extent cx="7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-3256915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-3256915</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-1567815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-1567815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5"/>
                <w:szCs w:val="15"/>
                <w:color w:val="auto"/>
              </w:rPr>
            </w:pP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Royalty revenue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40,302</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58,879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(24,527)</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(23,105)</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(48,070)</w:t>
            </w: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(1,714)</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(6,399)</w:t>
            </w: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(1,893)</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(13,084)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(23,949)</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(24,998)</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(46,655)</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(13,091)</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(22,644)</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(25,029)</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(44,934)</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(0.45)</w:t>
            </w:r>
          </w:p>
        </w:tc>
        <w:tc>
          <w:tcPr>
            <w:tcW w:w="3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2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26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21,355</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28,892</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-2167890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-2167890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-2167890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-1602105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-1602105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-1602105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-1036320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-1036320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-1036320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-462280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-445135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-462280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-445135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-462280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-445135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5"/>
                <w:szCs w:val="15"/>
                <w:color w:val="auto"/>
              </w:rPr>
            </w:pPr>
          </w:p>
        </w:tc>
        <w:tc>
          <w:tcPr>
            <w:tcW w:w="274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4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(13,091)</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(22,644)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(25,029)</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(44,934)</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unrealized loss on marketable securities</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r>
      <w:tr>
        <w:trPr>
          <w:trHeight w:val="20"/>
        </w:trPr>
        <w:tc>
          <w:tcPr>
            <w:tcW w:w="41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w:t>
            </w:r>
          </w:p>
        </w:tc>
      </w:tr>
      <w:tr>
        <w:trPr>
          <w:trHeight w:val="20"/>
        </w:trPr>
        <w:tc>
          <w:tcPr>
            <w:tcW w:w="4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(13,496)</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(22,839)</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(25,424)</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(45,460)</w:t>
            </w: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-316230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-316230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-316230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9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820" w:type="dxa"/>
            <w:vAlign w:val="bottom"/>
            <w:gridSpan w:val="4"/>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9"/>
        </w:trPr>
        <w:tc>
          <w:tcPr>
            <w:tcW w:w="532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60" w:type="dxa"/>
            <w:vAlign w:val="bottom"/>
          </w:tcPr>
          <w:p>
            <w:pPr>
              <w:spacing w:after="0"/>
              <w:rPr>
                <w:sz w:val="9"/>
                <w:szCs w:val="9"/>
                <w:color w:val="auto"/>
              </w:rPr>
            </w:pPr>
          </w:p>
        </w:tc>
        <w:tc>
          <w:tcPr>
            <w:tcW w:w="700" w:type="dxa"/>
            <w:vAlign w:val="bottom"/>
            <w:vMerge w:val="restart"/>
          </w:tcPr>
          <w:p>
            <w:pPr>
              <w:jc w:val="center"/>
              <w:ind w:right="9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8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0"/>
                <w:szCs w:val="10"/>
                <w:color w:val="auto"/>
              </w:rPr>
            </w:pPr>
          </w:p>
        </w:tc>
        <w:tc>
          <w:tcPr>
            <w:tcW w:w="8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9"/>
        </w:trPr>
        <w:tc>
          <w:tcPr>
            <w:tcW w:w="53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3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September 30, 2025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21,387</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$ 469,771</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line="264" w:lineRule="exact"/>
              <w:rPr>
                <w:sz w:val="20"/>
                <w:szCs w:val="20"/>
                <w:color w:val="auto"/>
              </w:rPr>
            </w:pPr>
            <w:r>
              <w:rPr>
                <w:rFonts w:ascii="Times New Roman" w:cs="Times New Roman" w:eastAsia="Times New Roman" w:hAnsi="Times New Roman"/>
                <w:sz w:val="16"/>
                <w:szCs w:val="16"/>
                <w:color w:val="auto"/>
              </w:rPr>
              <w:t>(404,92</w:t>
            </w:r>
            <w:r>
              <w:rPr>
                <w:rFonts w:ascii="Times New Roman" w:cs="Times New Roman" w:eastAsia="Times New Roman" w:hAnsi="Times New Roman"/>
                <w:sz w:val="30"/>
                <w:szCs w:val="30"/>
                <w:color w:val="auto"/>
                <w:vertAlign w:val="subscript"/>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64,717</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October 2025 public offering, net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7,475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69,873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69,948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issuance costs of $4,802</w:t>
            </w:r>
          </w:p>
        </w:tc>
        <w:tc>
          <w:tcPr>
            <w:tcW w:w="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3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(11,938)</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(11,938)</w:t>
            </w:r>
          </w:p>
        </w:tc>
        <w:tc>
          <w:tcPr>
            <w:tcW w:w="0" w:type="dxa"/>
            <w:vAlign w:val="bottom"/>
          </w:tcPr>
          <w:p>
            <w:pPr>
              <w:spacing w:after="0"/>
              <w:rPr>
                <w:sz w:val="1"/>
                <w:szCs w:val="1"/>
                <w:color w:val="auto"/>
              </w:rPr>
            </w:pPr>
          </w:p>
        </w:tc>
      </w:tr>
      <w:tr>
        <w:trPr>
          <w:trHeight w:val="156"/>
        </w:trPr>
        <w:tc>
          <w:tcPr>
            <w:tcW w:w="53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(416,86</w:t>
            </w:r>
          </w:p>
        </w:tc>
        <w:tc>
          <w:tcPr>
            <w:tcW w:w="2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$ 543,497</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7</w:t>
            </w:r>
            <w:r>
              <w:rPr>
                <w:rFonts w:ascii="Times New Roman" w:cs="Times New Roman" w:eastAsia="Times New Roman" w:hAnsi="Times New Roman"/>
                <w:sz w:val="31"/>
                <w:szCs w:val="31"/>
                <w:color w:val="auto"/>
                <w:vertAlign w:val="superscript"/>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126,591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(13,091)</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(13,091)</w:t>
            </w:r>
          </w:p>
        </w:tc>
        <w:tc>
          <w:tcPr>
            <w:tcW w:w="0" w:type="dxa"/>
            <w:vAlign w:val="bottom"/>
          </w:tcPr>
          <w:p>
            <w:pPr>
              <w:spacing w:after="0"/>
              <w:rPr>
                <w:sz w:val="1"/>
                <w:szCs w:val="1"/>
                <w:color w:val="auto"/>
              </w:rPr>
            </w:pPr>
          </w:p>
        </w:tc>
      </w:tr>
      <w:tr>
        <w:trPr>
          <w:trHeight w:val="155"/>
        </w:trPr>
        <w:tc>
          <w:tcPr>
            <w:tcW w:w="53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(429,95</w:t>
            </w:r>
          </w:p>
        </w:tc>
        <w:tc>
          <w:tcPr>
            <w:tcW w:w="2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March 31, 2026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$ 546,988</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line="269" w:lineRule="exact"/>
              <w:rPr>
                <w:sz w:val="20"/>
                <w:szCs w:val="20"/>
                <w:color w:val="auto"/>
              </w:rPr>
            </w:pPr>
            <w:r>
              <w:rPr>
                <w:rFonts w:ascii="Times New Roman" w:cs="Times New Roman" w:eastAsia="Times New Roman" w:hAnsi="Times New Roman"/>
                <w:sz w:val="31"/>
                <w:szCs w:val="31"/>
                <w:color w:val="auto"/>
                <w:vertAlign w:val="subscript"/>
              </w:rPr>
              <w:t>8</w:t>
            </w: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1"/>
        </w:trPr>
        <w:tc>
          <w:tcPr>
            <w:tcW w:w="5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-2211070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-2211070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-2211070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-2211070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-2211070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-2211070</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-1216660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-1216660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-1216660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-1216660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-1216660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820" w:type="dxa"/>
            <w:vAlign w:val="bottom"/>
            <w:gridSpan w:val="4"/>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w:t>
            </w:r>
          </w:p>
        </w:tc>
        <w:tc>
          <w:tcPr>
            <w:tcW w:w="960" w:type="dxa"/>
            <w:vAlign w:val="bottom"/>
            <w:gridSpan w:val="3"/>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9"/>
        </w:trPr>
        <w:tc>
          <w:tcPr>
            <w:tcW w:w="5320" w:type="dxa"/>
            <w:vAlign w:val="bottom"/>
          </w:tcPr>
          <w:p>
            <w:pPr>
              <w:spacing w:after="0"/>
              <w:rPr>
                <w:sz w:val="9"/>
                <w:szCs w:val="9"/>
                <w:color w:val="auto"/>
              </w:rPr>
            </w:pPr>
          </w:p>
        </w:tc>
        <w:tc>
          <w:tcPr>
            <w:tcW w:w="18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ive</w:t>
            </w:r>
          </w:p>
        </w:tc>
        <w:tc>
          <w:tcPr>
            <w:tcW w:w="140" w:type="dxa"/>
            <w:vAlign w:val="bottom"/>
          </w:tcPr>
          <w:p>
            <w:pPr>
              <w:spacing w:after="0"/>
              <w:rPr>
                <w:sz w:val="9"/>
                <w:szCs w:val="9"/>
                <w:color w:val="auto"/>
              </w:rPr>
            </w:pPr>
          </w:p>
        </w:tc>
        <w:tc>
          <w:tcPr>
            <w:tcW w:w="820" w:type="dxa"/>
            <w:vAlign w:val="bottom"/>
            <w:gridSpan w:val="2"/>
            <w:vMerge w:val="restart"/>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160" w:type="dxa"/>
            <w:vAlign w:val="bottom"/>
          </w:tcPr>
          <w:p>
            <w:pPr>
              <w:spacing w:after="0"/>
              <w:rPr>
                <w:sz w:val="9"/>
                <w:szCs w:val="9"/>
                <w:color w:val="auto"/>
              </w:rPr>
            </w:pPr>
          </w:p>
        </w:tc>
        <w:tc>
          <w:tcPr>
            <w:tcW w:w="700" w:type="dxa"/>
            <w:vAlign w:val="bottom"/>
            <w:vMerge w:val="restart"/>
          </w:tcPr>
          <w:p>
            <w:pPr>
              <w:jc w:val="center"/>
              <w:ind w:right="9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8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0"/>
                <w:szCs w:val="10"/>
                <w:color w:val="auto"/>
              </w:rPr>
            </w:pPr>
          </w:p>
        </w:tc>
        <w:tc>
          <w:tcPr>
            <w:tcW w:w="8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9"/>
        </w:trPr>
        <w:tc>
          <w:tcPr>
            <w:tcW w:w="53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32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September 30, 2024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$ 451,340</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40"/>
              <w:spacing w:after="0" w:line="264" w:lineRule="exact"/>
              <w:rPr>
                <w:sz w:val="20"/>
                <w:szCs w:val="20"/>
                <w:color w:val="auto"/>
              </w:rPr>
            </w:pPr>
            <w:r>
              <w:rPr>
                <w:rFonts w:ascii="Times New Roman" w:cs="Times New Roman" w:eastAsia="Times New Roman" w:hAnsi="Times New Roman"/>
                <w:sz w:val="16"/>
                <w:szCs w:val="16"/>
                <w:color w:val="auto"/>
              </w:rPr>
              <w:t>(323,04</w:t>
            </w:r>
            <w:r>
              <w:rPr>
                <w:rFonts w:ascii="Times New Roman" w:cs="Times New Roman" w:eastAsia="Times New Roman" w:hAnsi="Times New Roman"/>
                <w:sz w:val="30"/>
                <w:szCs w:val="30"/>
                <w:color w:val="auto"/>
                <w:vertAlign w:val="subscript"/>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128,814</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(22,290)</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(22,290)</w:t>
            </w:r>
          </w:p>
        </w:tc>
        <w:tc>
          <w:tcPr>
            <w:tcW w:w="0" w:type="dxa"/>
            <w:vAlign w:val="bottom"/>
          </w:tcPr>
          <w:p>
            <w:pPr>
              <w:spacing w:after="0"/>
              <w:rPr>
                <w:sz w:val="1"/>
                <w:szCs w:val="1"/>
                <w:color w:val="auto"/>
              </w:rPr>
            </w:pPr>
          </w:p>
        </w:tc>
      </w:tr>
      <w:tr>
        <w:trPr>
          <w:trHeight w:val="156"/>
        </w:trPr>
        <w:tc>
          <w:tcPr>
            <w:tcW w:w="5320" w:type="dxa"/>
            <w:vAlign w:val="bottom"/>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(345,33</w:t>
            </w: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21,333</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$ 456,962</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0</w:t>
            </w:r>
            <w:r>
              <w:rPr>
                <w:rFonts w:ascii="Times New Roman" w:cs="Times New Roman" w:eastAsia="Times New Roman" w:hAnsi="Times New Roman"/>
                <w:sz w:val="31"/>
                <w:szCs w:val="31"/>
                <w:color w:val="auto"/>
                <w:vertAlign w:val="superscript"/>
              </w:rPr>
              <w: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111,816</w:t>
            </w:r>
          </w:p>
        </w:tc>
        <w:tc>
          <w:tcPr>
            <w:tcW w:w="1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 net of withholding</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9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7"/>
                <w:szCs w:val="17"/>
                <w:color w:val="auto"/>
              </w:rPr>
            </w:pPr>
          </w:p>
        </w:tc>
        <w:tc>
          <w:tcPr>
            <w:tcW w:w="8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(22,644)</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(22,644)</w:t>
            </w:r>
          </w:p>
        </w:tc>
        <w:tc>
          <w:tcPr>
            <w:tcW w:w="0" w:type="dxa"/>
            <w:vAlign w:val="bottom"/>
          </w:tcPr>
          <w:p>
            <w:pPr>
              <w:spacing w:after="0"/>
              <w:rPr>
                <w:sz w:val="1"/>
                <w:szCs w:val="1"/>
                <w:color w:val="auto"/>
              </w:rPr>
            </w:pPr>
          </w:p>
        </w:tc>
      </w:tr>
      <w:tr>
        <w:trPr>
          <w:trHeight w:val="155"/>
        </w:trPr>
        <w:tc>
          <w:tcPr>
            <w:tcW w:w="53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(367,97</w:t>
            </w:r>
          </w:p>
        </w:tc>
        <w:tc>
          <w:tcPr>
            <w:tcW w:w="2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March 31, 2025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$ 461,522</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40"/>
              <w:spacing w:after="0" w:line="269" w:lineRule="exact"/>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31"/>
                <w:szCs w:val="31"/>
                <w:color w:val="auto"/>
                <w:vertAlign w:val="superscript"/>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-882015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-864870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-882015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-864870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-882015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-864870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-882015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-864870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-882015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-864870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-307975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-307975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-307975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-307975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-307975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-307975</wp:posOffset>
            </wp:positionV>
            <wp:extent cx="774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60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(25,029)</w:t>
            </w:r>
          </w:p>
        </w:tc>
        <w:tc>
          <w:tcPr>
            <w:tcW w:w="104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(44,934)</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10,354</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2,439</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interest associated with the sale of future royalties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(1,303)</w:t>
            </w: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Non-cash royalty revenue</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(1,106)</w:t>
            </w:r>
          </w:p>
        </w:tc>
        <w:tc>
          <w:tcPr>
            <w:tcW w:w="10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(175)</w:t>
            </w: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Premium paid on marketable securities</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(1,037)</w:t>
            </w:r>
          </w:p>
        </w:tc>
        <w:tc>
          <w:tcPr>
            <w:tcW w:w="10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Amortization of premiums on marketable securities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9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(927)</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(146)</w:t>
            </w: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3,556</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Income tax receivable</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(1,837)</w:t>
            </w: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2,656</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long-term assets</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(52)</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Accrued expenses</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(5,892)</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(4,883)</w:t>
            </w:r>
          </w:p>
        </w:tc>
      </w:tr>
      <w:tr>
        <w:trPr>
          <w:trHeight w:val="216"/>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(1,367)</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120" w:type="dxa"/>
            <w:vAlign w:val="bottom"/>
            <w:shd w:val="clear" w:color="auto" w:fill="CFF0FC"/>
          </w:tcPr>
          <w:p>
            <w:pPr>
              <w:spacing w:after="0"/>
              <w:rPr>
                <w:sz w:val="18"/>
                <w:szCs w:val="18"/>
                <w:color w:val="auto"/>
              </w:rPr>
            </w:pPr>
          </w:p>
        </w:tc>
      </w:tr>
      <w:tr>
        <w:trPr>
          <w:trHeight w:val="203"/>
        </w:trPr>
        <w:tc>
          <w:tcPr>
            <w:tcW w:w="76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7"/>
                <w:szCs w:val="17"/>
                <w:color w:val="auto"/>
              </w:rPr>
            </w:pPr>
          </w:p>
        </w:tc>
      </w:tr>
      <w:tr>
        <w:trPr>
          <w:trHeight w:val="196"/>
        </w:trPr>
        <w:tc>
          <w:tcPr>
            <w:tcW w:w="7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(18,855)</w:t>
            </w:r>
          </w:p>
        </w:tc>
        <w:tc>
          <w:tcPr>
            <w:tcW w:w="10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(30,289)</w:t>
            </w:r>
          </w:p>
        </w:tc>
      </w:tr>
      <w:tr>
        <w:trPr>
          <w:trHeight w:val="210"/>
        </w:trPr>
        <w:tc>
          <w:tcPr>
            <w:tcW w:w="7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 of marketable securities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(190,574)</w:t>
            </w:r>
          </w:p>
        </w:tc>
        <w:tc>
          <w:tcPr>
            <w:tcW w:w="10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(55,016)</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maturities and sale of marketable securities</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155,376</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130,833</w:t>
            </w:r>
          </w:p>
        </w:tc>
        <w:tc>
          <w:tcPr>
            <w:tcW w:w="120" w:type="dxa"/>
            <w:vAlign w:val="bottom"/>
          </w:tcPr>
          <w:p>
            <w:pPr>
              <w:spacing w:after="0"/>
              <w:rPr>
                <w:sz w:val="18"/>
                <w:szCs w:val="18"/>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9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(158)</w:t>
            </w:r>
          </w:p>
        </w:tc>
        <w:tc>
          <w:tcPr>
            <w:tcW w:w="10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(11,283)</w:t>
            </w:r>
          </w:p>
        </w:tc>
      </w:tr>
      <w:tr>
        <w:trPr>
          <w:trHeight w:val="20"/>
        </w:trPr>
        <w:tc>
          <w:tcPr>
            <w:tcW w:w="76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9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(35,356)</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64,534</w:t>
            </w:r>
          </w:p>
        </w:tc>
        <w:tc>
          <w:tcPr>
            <w:tcW w:w="120" w:type="dxa"/>
            <w:vAlign w:val="bottom"/>
          </w:tcPr>
          <w:p>
            <w:pPr>
              <w:spacing w:after="0"/>
              <w:rPr>
                <w:sz w:val="17"/>
                <w:szCs w:val="17"/>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October 2025 public offering, net of issuance costs of $4,802</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69,948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Payments on royalty sale liability, net of imputed interest</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(12,895)</w:t>
            </w:r>
          </w:p>
        </w:tc>
        <w:tc>
          <w:tcPr>
            <w:tcW w:w="10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(11,703)</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Payments for settlement of share-based awards</w:t>
            </w:r>
          </w:p>
        </w:tc>
        <w:tc>
          <w:tcPr>
            <w:tcW w:w="9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(402)</w:t>
            </w:r>
          </w:p>
        </w:tc>
        <w:tc>
          <w:tcPr>
            <w:tcW w:w="10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(264)</w:t>
            </w:r>
          </w:p>
        </w:tc>
      </w:tr>
      <w:tr>
        <w:trPr>
          <w:trHeight w:val="203"/>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9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9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56,841</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(11,873)</w:t>
            </w: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Net increase in cash, cash equivalents and restricted cash</w:t>
            </w:r>
          </w:p>
        </w:tc>
        <w:tc>
          <w:tcPr>
            <w:tcW w:w="9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2,630</w:t>
            </w: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22,372</w:t>
            </w:r>
          </w:p>
        </w:tc>
        <w:tc>
          <w:tcPr>
            <w:tcW w:w="120" w:type="dxa"/>
            <w:vAlign w:val="bottom"/>
            <w:shd w:val="clear" w:color="auto" w:fill="CFF0FC"/>
          </w:tcPr>
          <w:p>
            <w:pPr>
              <w:spacing w:after="0"/>
              <w:rPr>
                <w:sz w:val="18"/>
                <w:szCs w:val="18"/>
                <w:color w:val="auto"/>
              </w:rPr>
            </w:pPr>
          </w:p>
        </w:tc>
      </w:tr>
      <w:tr>
        <w:trPr>
          <w:trHeight w:val="203"/>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35,658</w:t>
            </w:r>
          </w:p>
        </w:tc>
        <w:tc>
          <w:tcPr>
            <w:tcW w:w="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41,201</w:t>
            </w:r>
          </w:p>
        </w:tc>
        <w:tc>
          <w:tcPr>
            <w:tcW w:w="120" w:type="dxa"/>
            <w:vAlign w:val="bottom"/>
          </w:tcPr>
          <w:p>
            <w:pPr>
              <w:spacing w:after="0"/>
              <w:rPr>
                <w:sz w:val="17"/>
                <w:szCs w:val="17"/>
                <w:color w:val="auto"/>
              </w:rPr>
            </w:pPr>
          </w:p>
        </w:tc>
      </w:tr>
      <w:tr>
        <w:trPr>
          <w:trHeight w:val="23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960" w:type="dxa"/>
            <w:vAlign w:val="bottom"/>
            <w:tcBorders>
              <w:bottom w:val="single" w:sz="8" w:color="auto"/>
            </w:tcBorders>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38,288</w:t>
            </w:r>
          </w:p>
        </w:tc>
        <w:tc>
          <w:tcPr>
            <w:tcW w:w="2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63,573</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197"/>
        </w:trPr>
        <w:tc>
          <w:tcPr>
            <w:tcW w:w="7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information:</w:t>
            </w: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1"/>
        </w:trPr>
        <w:tc>
          <w:tcPr>
            <w:tcW w:w="7600" w:type="dxa"/>
            <w:vAlign w:val="bottom"/>
            <w:shd w:val="clear" w:color="auto" w:fill="CFF0FC"/>
          </w:tcPr>
          <w:p>
            <w:pPr>
              <w:ind w:left="140"/>
              <w:spacing w:after="0" w:line="181" w:lineRule="exact"/>
              <w:rPr>
                <w:sz w:val="20"/>
                <w:szCs w:val="20"/>
                <w:color w:val="auto"/>
              </w:rPr>
            </w:pPr>
            <w:r>
              <w:rPr>
                <w:rFonts w:ascii="Times New Roman" w:cs="Times New Roman" w:eastAsia="Times New Roman" w:hAnsi="Times New Roman"/>
                <w:sz w:val="17"/>
                <w:szCs w:val="17"/>
                <w:color w:val="auto"/>
              </w:rPr>
              <w:t>Purchases of fixed assets included in accounts payable and</w:t>
            </w:r>
          </w:p>
        </w:tc>
        <w:tc>
          <w:tcPr>
            <w:tcW w:w="9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4"/>
        </w:trPr>
        <w:tc>
          <w:tcPr>
            <w:tcW w:w="76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7"/>
                <w:szCs w:val="17"/>
                <w:color w:val="auto"/>
              </w:rPr>
              <w:t>accrued expenses</w:t>
            </w:r>
          </w:p>
        </w:tc>
        <w:tc>
          <w:tcPr>
            <w:tcW w:w="96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1,296</w:t>
            </w:r>
          </w:p>
        </w:tc>
        <w:tc>
          <w:tcPr>
            <w:tcW w:w="120" w:type="dxa"/>
            <w:vAlign w:val="bottom"/>
            <w:shd w:val="clear" w:color="auto" w:fill="CFF0FC"/>
          </w:tcPr>
          <w:p>
            <w:pPr>
              <w:spacing w:after="0"/>
              <w:rPr>
                <w:sz w:val="19"/>
                <w:szCs w:val="19"/>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7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 interest</w:t>
            </w:r>
          </w:p>
        </w:tc>
        <w:tc>
          <w:tcPr>
            <w:tcW w:w="960" w:type="dxa"/>
            <w:vAlign w:val="bottom"/>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5,453</w:t>
            </w:r>
          </w:p>
        </w:tc>
        <w:tc>
          <w:tcPr>
            <w:tcW w:w="220" w:type="dxa"/>
            <w:vAlign w:val="bottom"/>
          </w:tcPr>
          <w:p>
            <w:pPr>
              <w:spacing w:after="0"/>
              <w:rPr>
                <w:sz w:val="17"/>
                <w:szCs w:val="17"/>
                <w:color w:val="auto"/>
              </w:rPr>
            </w:pPr>
          </w:p>
        </w:tc>
        <w:tc>
          <w:tcPr>
            <w:tcW w:w="104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5,480</w:t>
            </w:r>
          </w:p>
        </w:tc>
        <w:tc>
          <w:tcPr>
            <w:tcW w:w="120" w:type="dxa"/>
            <w:vAlign w:val="bottom"/>
          </w:tcPr>
          <w:p>
            <w:pPr>
              <w:spacing w:after="0"/>
              <w:rPr>
                <w:sz w:val="17"/>
                <w:szCs w:val="17"/>
                <w:color w:val="auto"/>
              </w:rPr>
            </w:pPr>
          </w:p>
        </w:tc>
      </w:tr>
      <w:tr>
        <w:trPr>
          <w:trHeight w:val="203"/>
        </w:trPr>
        <w:tc>
          <w:tcPr>
            <w:tcW w:w="7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Cash received from tenant improvement allowances</w:t>
            </w:r>
          </w:p>
        </w:tc>
        <w:tc>
          <w:tcPr>
            <w:tcW w:w="960" w:type="dxa"/>
            <w:vAlign w:val="bottom"/>
            <w:shd w:val="clear" w:color="auto" w:fill="CFF0FC"/>
          </w:tcPr>
          <w:p>
            <w:pPr>
              <w:jc w:val="right"/>
              <w:ind w:right="79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4,780</w:t>
            </w:r>
          </w:p>
        </w:tc>
        <w:tc>
          <w:tcPr>
            <w:tcW w:w="1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-2853690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-2853690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-2305050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-2305050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-1482090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-1482090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-934085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-916940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-934085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12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Enanta Pharmaceuticals, Inc. (collectively with its subsidiary, the “Company”), incorporated in Delaware in 1995, is a biotechnology company that uses its robust, chemistry-driven approach and drug discovery capabilities to discover and develop small molecule drugs for virology and immunology indications. The Company discovered glecaprevir, the second of two antiviral protease inhibitors developed through its collaboration with AbbVie for the treatment of acute or chronic infection with hepatitis C virus, or HCV. Glecaprevir is co-formulated as part of AbbVie’s leading brand of direct-acting antiviral, or DAA, combination treatment for HCV, which has been marketed under the tradenames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(glecaprevir/pibrentasvir) since 2017.</w:t>
      </w:r>
    </w:p>
    <w:p>
      <w:pPr>
        <w:spacing w:after="0" w:line="9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condensed consolidated balance sheet as of September 30, 2025 was derived from audited financial statements but does not include all disclosures required by accounting principles generally accepted in the United States of America (“GAAP”). The accompanying unaudited condensed consolidated financial statements as of March 31, 2026 and for the three and six months ended March 31, 2026 and 2025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included in the Company’s Annual Report on Form 10-K for the fiscal year ended September 30, 2025.</w:t>
      </w:r>
    </w:p>
    <w:p>
      <w:pPr>
        <w:spacing w:after="0" w:line="8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adjustments necessary for a fair statement of the Company’s financial position as of March 31, 2026 and results of operations for the three and six months ended March 31, 2026 and 2025 and cash flows for the six months ended March 31, 2026 and 2025 have been made. The results of operations for the three and six months ended March 31, 2026 are not necessarily indicative of the results of operations that may be expected for subsequent quarters or the year ending September 30, 2026.</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GAAP. All amounts in the condensed consolidated financial statements and in the notes to the condensed consolidated financial statements, except per share amounts, are in thousands unless otherwise indicated.</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based on continuity of operations, realization of assets and the satisfaction of liabilities and commitments in the ordinary course of business. The Company began reporting a net loss in fiscal 2020 and reported a net loss of $25,029 for the six months ended March 31, 2026 and $81,889 for the year ended September 30, 2025. As of March 31, 2026, the Company had an accumulated deficit of $429,958. The Company expects to continue to generate operating losses for the foreseeable future as the Company continues to advance its wholly-owned programs. As of March 31, 2026, the Company had $227,012 in cash, cash equivalents and short-term and long-term marketable securities. The Company expects that its cash, cash equivalents and short-term and long-term marketable securities will be sufficient to fund its operating expenses and capital expenditure requirements for at least 12 months from the issuance date of the interim condensed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Follow-on Public Offering</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October 2025, the Company closed an underwritten public offering of its common stock. The Company issued and sold 7,475 shares of its common stock at a public offering price of $10.00 per share. The aggregate gross proceeds of the offering, before deducting underwriting discounts and commissions and other offering expenses, were $74,750.</w:t>
      </w:r>
    </w:p>
    <w:p>
      <w:pPr>
        <w:spacing w:after="0" w:line="200" w:lineRule="exact"/>
        <w:rPr>
          <w:sz w:val="20"/>
          <w:szCs w:val="20"/>
          <w:color w:val="auto"/>
        </w:rPr>
      </w:pPr>
    </w:p>
    <w:p>
      <w:pPr>
        <w:spacing w:after="0" w:line="29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the Company’s Significant Accounting Policies, please refer to its Annual Report on Form 10-K for the fiscal year ended September 30, 2025. Any reference in these notes to applicable guidance is meant to refer to the authoritative GAAP as found in the Accounting Standards Codification and Accounting Standards Update (“ASU”) of the Financial Accounting Standards Board (“FASB”).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by the weighted average number of shares of common stock outstanding for the period. In periods in which the Company has reported a net loss, diluted net loss per common share is the same as basic net loss per common share since dilutive common shares are not assumed to have been issued if their effect is anti-dilutive. Therefore, the Company excluded the following potential common shares, presented based on amounts outstanding at each period end, from the computation of diluted net loss as its effect would have been anti-dilutive: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116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155"/>
        </w:trPr>
        <w:tc>
          <w:tcPr>
            <w:tcW w:w="7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8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8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7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6,740</w:t>
            </w:r>
          </w:p>
        </w:tc>
        <w:tc>
          <w:tcPr>
            <w:tcW w:w="6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6,025</w:t>
            </w:r>
          </w:p>
        </w:tc>
      </w:tr>
      <w:tr>
        <w:trPr>
          <w:trHeight w:val="216"/>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rTSRUs</w:t>
            </w: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4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7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7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420</w:t>
            </w:r>
          </w:p>
        </w:tc>
        <w:tc>
          <w:tcPr>
            <w:tcW w:w="6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(“ASU 2023-09”),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 adoption permitted. The Company does not expect ASU 2023-09 to have a material impact on the Company’s consolidated financial statements and related disclosures.</w:t>
      </w:r>
    </w:p>
    <w:p>
      <w:pPr>
        <w:spacing w:after="0" w:line="7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w:t>
      </w:r>
      <w:r>
        <w:rPr>
          <w:rFonts w:ascii="Times New Roman" w:cs="Times New Roman" w:eastAsia="Times New Roman" w:hAnsi="Times New Roman"/>
          <w:sz w:val="18"/>
          <w:szCs w:val="18"/>
          <w:color w:val="auto"/>
        </w:rPr>
        <w:t>(“ASU 2024-03”), which requires public entities to provide disaggregated disclosure of income statement expenses. Public entities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disaggregate, in a tabular presentation, each relevant expense caption on the face of the consolidated statements of operations such as the following expenses: purchases of inventory, employee compensation, intangible asset amortization, and depreciation. ASU 2024-03 is effective for the Company in the fiscal year beginning October 1, 2027, with early adoption permitted. The Company is currently evaluating the potential impact that ASU 2024-03 may have on its financial statement disclosures.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were subject to fair value measurement on a recurring basis as of March 31, 2026 and September 30, 2025, and indicate the fair value hierarchy of the valuation inputs utilized to determine such fair value: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2026 Using:</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34,533</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34,533</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192,084</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7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226,617</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226,617</w:t>
            </w:r>
          </w:p>
        </w:tc>
        <w:tc>
          <w:tcPr>
            <w:tcW w:w="12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7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FF0FC"/>
          </w:tcPr>
          <w:p>
            <w:pPr>
              <w:spacing w:after="0"/>
              <w:rPr>
                <w:sz w:val="19"/>
                <w:szCs w:val="19"/>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345"/>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9"/>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2025 Using:</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7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ind w:left="8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12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notes</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156,566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168,146</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168,146</w:t>
            </w:r>
          </w:p>
        </w:tc>
        <w:tc>
          <w:tcPr>
            <w:tcW w:w="12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7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FF0FC"/>
          </w:tcPr>
          <w:p>
            <w:pPr>
              <w:spacing w:after="0"/>
              <w:rPr>
                <w:sz w:val="19"/>
                <w:szCs w:val="19"/>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-2356485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-2356485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-2356485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-2356485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-1765300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-1748155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-1765300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-1748155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-1765300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-1748155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-1748155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-616585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-616585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-616585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-616585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March 31, 2026 and 2025, there were no transfers between Level 1, Level 2 and Level 3.</w:t>
      </w:r>
    </w:p>
    <w:p>
      <w:pPr>
        <w:spacing w:after="0" w:line="225"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fair value of Level 1 instruments are valued using quoted prices in active markets. The fair value of Level 2 instruments classified as marketable securities are typically determined through third-party pricing services. The pricing services use many observable market inputs to determine value, including reportable trades, benchmark yields, credit spreads, broker/dealer quotes, bids, offers, and current spot rates.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1,930 outstanding shares of Series 1 nonconvertible preferred stock as of March 31, 2026 and September 30, 2025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condensed consolidated statements of operations.</w:t>
      </w:r>
    </w:p>
    <w:p>
      <w:pPr>
        <w:spacing w:after="0" w:line="7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Range</w:t>
            </w:r>
          </w:p>
        </w:tc>
      </w:tr>
      <w:tr>
        <w:trPr>
          <w:trHeight w:val="227"/>
        </w:trPr>
        <w:tc>
          <w:tcPr>
            <w:tcW w:w="6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5"/>
        </w:trPr>
        <w:tc>
          <w:tcPr>
            <w:tcW w:w="6600" w:type="dxa"/>
            <w:vAlign w:val="bottom"/>
            <w:gridSpan w:val="2"/>
          </w:tcPr>
          <w:p>
            <w:pPr>
              <w:ind w:left="26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740" w:type="dxa"/>
            <w:vAlign w:val="bottom"/>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800" w:type="dxa"/>
            <w:vAlign w:val="bottom"/>
            <w:gridSpan w:val="3"/>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Probabilities of payout</w:t>
            </w:r>
          </w:p>
        </w:tc>
        <w:tc>
          <w:tcPr>
            <w:tcW w:w="12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center"/>
              <w:ind w:left="379"/>
              <w:spacing w:after="0"/>
              <w:rPr>
                <w:sz w:val="20"/>
                <w:szCs w:val="20"/>
                <w:color w:val="auto"/>
              </w:rPr>
            </w:pPr>
            <w:r>
              <w:rPr>
                <w:rFonts w:ascii="Times New Roman" w:cs="Times New Roman" w:eastAsia="Times New Roman" w:hAnsi="Times New Roman"/>
                <w:sz w:val="18"/>
                <w:szCs w:val="18"/>
                <w:color w:val="auto"/>
              </w:rPr>
              <w:t>0%-65%</w:t>
            </w: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0%-65%</w:t>
            </w: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8"/>
              </w:rPr>
              <w:t>8.25%</w:t>
            </w:r>
          </w:p>
        </w:tc>
        <w:tc>
          <w:tcPr>
            <w:tcW w:w="2800" w:type="dxa"/>
            <w:vAlign w:val="bottom"/>
            <w:gridSpan w:val="3"/>
          </w:tcPr>
          <w:p>
            <w:pPr>
              <w:jc w:val="center"/>
              <w:ind w:left="502"/>
              <w:spacing w:after="0"/>
              <w:rPr>
                <w:sz w:val="20"/>
                <w:szCs w:val="20"/>
                <w:color w:val="auto"/>
              </w:rPr>
            </w:pPr>
            <w:r>
              <w:rPr>
                <w:rFonts w:ascii="Times New Roman" w:cs="Times New Roman" w:eastAsia="Times New Roman" w:hAnsi="Times New Roman"/>
                <w:sz w:val="18"/>
                <w:szCs w:val="18"/>
                <w:color w:val="auto"/>
                <w:w w:val="98"/>
              </w:rPr>
              <w:t>8.25%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the fair value of nonconvertible preferred stock during the three and six months ended March 31, 2026 and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right="100"/>
        <w:spacing w:after="0" w:line="25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March 31, 2026 and is based on current estimates of future royalties expected to be paid to OMERS over the next 6 years, which are considered Level 3 inputs. See Note 7 for a rollforward of the liability.</w:t>
      </w:r>
    </w:p>
    <w:p>
      <w:pPr>
        <w:spacing w:after="0" w:line="7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September 30, 2025, the fair value of available-for-sale marketable securities, by type of security,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192,434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192,434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62"/>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156,521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88"/>
              </w:rPr>
              <w:t>47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156,521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88"/>
              </w:rPr>
              <w:t>47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-1148080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-1148080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-1148080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-1148080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-170815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March 31, 2026 and September 30, 2025, marketable securities consisted of investments that mature within one year, with the exception of certain U.S. Treasury notes as of March 31, 2026 which have maturities between one and two years and an aggregate fair value of $63,238.</w:t>
      </w:r>
    </w:p>
    <w:p>
      <w:pPr>
        <w:spacing w:after="0" w:line="266"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2026 and September 30,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820" w:type="dxa"/>
            <w:vAlign w:val="bottom"/>
          </w:tcPr>
          <w:p>
            <w:pPr>
              <w:spacing w:after="0"/>
              <w:rPr>
                <w:sz w:val="15"/>
                <w:szCs w:val="15"/>
                <w:color w:val="auto"/>
              </w:rPr>
            </w:pP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6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440" w:type="dxa"/>
            <w:vAlign w:val="bottom"/>
            <w:shd w:val="clear" w:color="auto" w:fill="CFF0FC"/>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8"/>
                <w:szCs w:val="18"/>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Accrued pharmaceutical drug manufacturing</w:t>
            </w:r>
          </w:p>
        </w:tc>
        <w:tc>
          <w:tcPr>
            <w:tcW w:w="1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18"/>
                <w:szCs w:val="18"/>
                <w:color w:val="auto"/>
              </w:rPr>
            </w:pPr>
          </w:p>
        </w:tc>
      </w:tr>
      <w:tr>
        <w:trPr>
          <w:trHeight w:val="216"/>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4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1440" w:type="dxa"/>
            <w:vAlign w:val="bottom"/>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10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-170815</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AbbVie Collaboration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$1,365,000 through March 31, 2026. Since the Company satisfied all of its performance obligations under the AbbVie Agreement by the end of fiscal 2011, all milestone payments received since then have been recognized as revenue when the milestones were achieved by AbbVie.</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Related to the Sale of Future Royalties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condensed consolidated balance sheets which will be amortized as interest expense in the condensed consolidated statements of operations under the effective interest rate method over the life of the royalty sale agreement. The Company will continue to record the full amount of royalties earned on MAVYRET/MAVIRET sales as royalty revenue in its condensed consolidated statements of operations.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liability related to the sale of future royalties is estimated based on forecasted worldwide MAVYRET/MAVIRET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condensed consolidated balance sheets.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estimated future cash flows resulted in an effective annual imputed interest rate of approximately 10.0%.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liability related to the sale of future royalties:</w:t>
      </w:r>
    </w:p>
    <w:p>
      <w:pPr>
        <w:sectPr>
          <w:pgSz w:w="11900" w:h="16838" w:orient="portrait"/>
          <w:cols w:equalWidth="0" w:num="1">
            <w:col w:w="11240"/>
          </w:cols>
          <w:pgMar w:left="320" w:top="1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September 30, 2025</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Royalty payable to purchaser</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Payments on royalty sale liability</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 March 31, 2026</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Liability related to the sale of future</w:t>
      </w:r>
    </w:p>
    <w:p>
      <w:pPr>
        <w:spacing w:after="0" w:line="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7227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8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00" w:type="dxa"/>
            <w:vAlign w:val="bottom"/>
            <w:gridSpan w:val="2"/>
          </w:tcPr>
          <w:p>
            <w:pPr>
              <w:jc w:val="right"/>
              <w:ind w:right="364"/>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(9,349)</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(10,122)</w:t>
            </w:r>
          </w:p>
        </w:tc>
      </w:tr>
      <w:tr>
        <w:trPr>
          <w:trHeight w:val="234"/>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60" w:type="dxa"/>
            <w:vAlign w:val="bottom"/>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color w:val="auto"/>
                <w:w w:val="71"/>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128,770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-719455</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-445135</wp:posOffset>
            </wp:positionV>
            <wp:extent cx="71323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-5340985</wp:posOffset>
            </wp:positionH>
            <wp:positionV relativeFrom="paragraph">
              <wp:posOffset>-162560</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00" w:space="720"/>
            <w:col w:w="2820"/>
          </w:cols>
          <w:pgMar w:left="320" w:top="1130" w:right="339" w:bottom="1440" w:gutter="0" w:footer="0" w:header="0"/>
          <w:type w:val="continuous"/>
        </w:sectPr>
      </w:pPr>
    </w:p>
    <w:p>
      <w:pPr>
        <w:spacing w:after="0" w:line="318"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Awards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grants stock-based awards, including stock options, restricted stock units and other unit awards under its 2019 Equity Incentive Plan (the “2019 Plan”), which was approved by its stockholders on February 28, 2019 and amended in March 2021, March 2022, March 2023, March 2024, December 2024, March 2025 and March 2026 and its 2024 Inducement Stock Incentive Plan, which was adopted by the Board of Directors in April 2024 for awards to new employees and amended in December 2024. The Company also has outstanding stock option awards under its 2012 Equity Incentive Plan (the “2012 Plan”), but is no longer granting awards under this plan.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including aggregate intrinsic value, for the year-to-date period ended March 31, 2026: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08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22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220" w:type="dxa"/>
            <w:vAlign w:val="bottom"/>
          </w:tcPr>
          <w:p>
            <w:pPr>
              <w:spacing w:after="0"/>
              <w:rPr>
                <w:sz w:val="12"/>
                <w:szCs w:val="12"/>
                <w:color w:val="auto"/>
              </w:rPr>
            </w:pPr>
          </w:p>
        </w:tc>
        <w:tc>
          <w:tcPr>
            <w:tcW w:w="108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0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2025</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16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Borders>
              <w:top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8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1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March 31, 2026</w:t>
            </w:r>
          </w:p>
        </w:tc>
        <w:tc>
          <w:tcPr>
            <w:tcW w:w="14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32.21</w:t>
            </w:r>
          </w:p>
        </w:tc>
        <w:tc>
          <w:tcPr>
            <w:tcW w:w="1660" w:type="dxa"/>
            <w:vAlign w:val="bottom"/>
            <w:tcBorders>
              <w:bottom w:val="single" w:sz="8" w:color="CFF0FC"/>
            </w:tcBorders>
            <w:gridSpan w:val="2"/>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6.5</w:t>
            </w:r>
          </w:p>
        </w:tc>
        <w:tc>
          <w:tcPr>
            <w:tcW w:w="400" w:type="dxa"/>
            <w:vAlign w:val="bottom"/>
            <w:tcBorders>
              <w:bottom w:val="single" w:sz="8" w:color="CFF0FC"/>
            </w:tcBorders>
            <w:gridSpan w:val="2"/>
            <w:shd w:val="clear" w:color="auto" w:fill="CFF0FC"/>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spacing w:after="0" w:line="194" w:lineRule="exact"/>
              <w:rPr>
                <w:sz w:val="20"/>
                <w:szCs w:val="20"/>
                <w:color w:val="auto"/>
              </w:rPr>
            </w:pPr>
            <w:r>
              <w:rPr>
                <w:rFonts w:ascii="Times New Roman" w:cs="Times New Roman" w:eastAsia="Times New Roman" w:hAnsi="Times New Roman"/>
                <w:sz w:val="18"/>
                <w:szCs w:val="18"/>
                <w:color w:val="auto"/>
              </w:rPr>
              <w:t>7,691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as of March 31, 2026</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4,245</w:t>
            </w:r>
          </w:p>
        </w:tc>
        <w:tc>
          <w:tcPr>
            <w:tcW w:w="2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43.44</w:t>
            </w:r>
          </w:p>
        </w:tc>
        <w:tc>
          <w:tcPr>
            <w:tcW w:w="1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4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880" w:type="dxa"/>
            <w:vAlign w:val="bottom"/>
          </w:tcPr>
          <w:p>
            <w:pPr>
              <w:spacing w:after="0"/>
              <w:rPr>
                <w:sz w:val="24"/>
                <w:szCs w:val="24"/>
                <w:color w:val="auto"/>
              </w:rPr>
            </w:pPr>
          </w:p>
        </w:tc>
        <w:tc>
          <w:tcPr>
            <w:tcW w:w="144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8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-1516380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-1096645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-1079500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Market and Performance-Based Stock Unit Awards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(at target) for the year-to-date period ended March 31, 2026:</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rTSRUs</w:t>
            </w: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61"/>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left="36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4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240" w:type="dxa"/>
            <w:vAlign w:val="bottom"/>
            <w:tcBorders>
              <w:top w:val="single" w:sz="8" w:color="auto"/>
            </w:tcBorders>
          </w:tcPr>
          <w:p>
            <w:pPr>
              <w:jc w:val="center"/>
              <w:ind w:left="24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2025</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8.47</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80" w:type="dxa"/>
            <w:vAlign w:val="bottom"/>
            <w:gridSpan w:val="2"/>
            <w:shd w:val="clear" w:color="auto" w:fill="CFF0FC"/>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6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9.59</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20.27</w:t>
            </w:r>
          </w:p>
        </w:tc>
        <w:tc>
          <w:tcPr>
            <w:tcW w:w="0" w:type="dxa"/>
            <w:vAlign w:val="bottom"/>
          </w:tcPr>
          <w:p>
            <w:pPr>
              <w:spacing w:after="0"/>
              <w:rPr>
                <w:sz w:val="1"/>
                <w:szCs w:val="1"/>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2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24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1080" w:type="dxa"/>
            <w:vAlign w:val="bottom"/>
            <w:gridSpan w:val="2"/>
            <w:shd w:val="clear" w:color="auto" w:fill="CFF0FC"/>
          </w:tcPr>
          <w:p>
            <w:pPr>
              <w:jc w:val="right"/>
              <w:ind w:right="78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332"/>
        </w:trPr>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 activity for the year-to-date period ended March 31, 2026:</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vMerge w:val="restart"/>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69"/>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center"/>
              <w:ind w:left="48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September 30, 2025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4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24.15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34.02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420</w:t>
            </w:r>
          </w:p>
        </w:tc>
        <w:tc>
          <w:tcPr>
            <w:tcW w:w="4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8"/>
              </w:rPr>
              <w:t>16.16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-1722120</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-1705610</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-1722120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-1705610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March 31, 2026 and 2025, the Company recognized the following stock-based compensation expense: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49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2"/>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14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6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tcPr>
          <w:p>
            <w:pPr>
              <w:spacing w:after="0"/>
              <w:rPr>
                <w:sz w:val="18"/>
                <w:szCs w:val="18"/>
                <w:color w:val="auto"/>
              </w:rPr>
            </w:pPr>
          </w:p>
        </w:tc>
      </w:tr>
      <w:tr>
        <w:trPr>
          <w:trHeight w:val="230"/>
        </w:trPr>
        <w:tc>
          <w:tcPr>
            <w:tcW w:w="49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6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shd w:val="clear" w:color="auto" w:fill="CFF0FC"/>
          </w:tcPr>
          <w:p>
            <w:pPr>
              <w:spacing w:after="0"/>
              <w:rPr>
                <w:sz w:val="19"/>
                <w:szCs w:val="19"/>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45"/>
        </w:trPr>
        <w:tc>
          <w:tcPr>
            <w:tcW w:w="4920" w:type="dxa"/>
            <w:vAlign w:val="bottom"/>
          </w:tcPr>
          <w:p>
            <w:pPr>
              <w:spacing w:after="0"/>
              <w:rPr>
                <w:sz w:val="24"/>
                <w:szCs w:val="24"/>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492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2"/>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14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6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rTSRUs</w:t>
            </w: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8"/>
                <w:szCs w:val="18"/>
                <w:color w:val="auto"/>
              </w:rPr>
            </w:pPr>
          </w:p>
        </w:tc>
      </w:tr>
      <w:tr>
        <w:trPr>
          <w:trHeight w:val="230"/>
        </w:trPr>
        <w:tc>
          <w:tcPr>
            <w:tcW w:w="49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66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shd w:val="clear" w:color="auto" w:fill="CFF0FC"/>
          </w:tcPr>
          <w:p>
            <w:pPr>
              <w:spacing w:after="0"/>
              <w:rPr>
                <w:sz w:val="19"/>
                <w:szCs w:val="19"/>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-1182370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-1165225</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-1182370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-1165225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-1182370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-1165225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March 31, 2026 and 2025, the Company recognized stock-based compensation expense for performance-based stock units for which vesting became probable upon achievement of performance-based targets that occurred during the performance period.</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an aggregate of $24,902 of unrecognized stock-based compensation cost, which is expected to be recognized over a weighted average period of 2.4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4" w:name="page15"/>
    <w:bookmarkEnd w:id="14"/>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March 31, 2026, the Company recorded an income tax expense of $7 and $31, respectively, as compared to an income tax benefit of $1,305 and $1,721 during the three and six months ended March 31, 2025. The income tax benefit for the three and six months ended March 31, 2025 was primarily due to an additional federal income tax refund from a net operating loss carryback of $871. The federal income tax refund of $33,785, inclusive of interest, was received in April 2025.</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which includes several changes to U.S. federal income tax law, including the temporary and permanent extension of expiring provisions of the Tax Cuts and Jobs Act of 2017, such as 100% bonus depreciation and immediate expensing of domestic research and development costs. The new legislation has multiple effective dates, with certain provisions that became effective in 2025 and others in the future. The Company determined that the legislation does not have a material impact on its condensed consolidated financial statements for the three and six months ended March 31, 2026.</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Contingencies Related to Use of Intellectual Property</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become subject to legal proceedings, claims and litigation arising in the ordinary course of business. Except as described below,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June 21, 2022, the Company filed suit in the United States District Court for the District of Massachusetts against Pfizer Inc. seeking damages for infringement of U.S. Patent No. 11,358,953 (the “’953 Patent”) in the manufacture, use, and sale of Pfizer’s COVID-19 antiviral, Paxlovid™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In May 2024, the Company and Pfizer each filed motions for summary judgment and, on December 23, 2024, the District Court issued a summary judgment decision ruling that the asserted claims of the ’953 Patent were invalid. In its decision, the District Court also denied the Company’s partial motion for summary judgment of infringement as moot in light of its allowance of summary judgment on invalidity. On February 3, 2025, the Company filed a notice of appeal with the United States Court of Appeals for the Federal Circuit, and the oral argument occurred on May 11, 2026. The timing for a decision on the appeal remains uncertain; based on the current schedule, however, the Company anticipates a decision from the Federal Circuit by the end of September 2026.</w:t>
      </w:r>
    </w:p>
    <w:p>
      <w:pPr>
        <w:spacing w:after="0" w:line="8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August 20, 2025, the Company filed a patent infringement action in the Unified Patent Court (the “UPC”) of the European Union against Pfizer Inc. and certain of its subsidiaries. The suit seeks a determination of liability for infringement of European Patent No. EP 4 051 265 (the “’265 Patent”) in connection with Pfizer’s manufacture, use, and sale of Paxlovid™ (nirmatrelvir tablets; ritonavir tablets) in the 18 EU member states participating in the UPC. The ’265 Patent is the European counterpart to the ‘953 Patent. A hearing on the infringement action and counterclaim for revocation has been scheduled for September 29, 2026 and, under the UPC procedures, a decision is expected to be rendered within weeks thereafter. If the UPC determines there has been infringement, subsequent proceedings would be required to determine damages. All timelines remain subject to potential rights of appeal and other customary proceedings in European patent litigation.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all legal expenses associated with the patent infringement suits as incurred in the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5" w:name="page16"/>
    <w:bookmarkEnd w:id="15"/>
    <w:p>
      <w:pPr>
        <w:ind w:right="800"/>
        <w:spacing w:after="0" w:line="282" w:lineRule="auto"/>
        <w:rPr>
          <w:sz w:val="20"/>
          <w:szCs w:val="20"/>
          <w:color w:val="auto"/>
        </w:rPr>
      </w:pPr>
      <w:r>
        <w:rPr>
          <w:rFonts w:ascii="Times New Roman" w:cs="Times New Roman" w:eastAsia="Times New Roman" w:hAnsi="Times New Roman"/>
          <w:sz w:val="18"/>
          <w:szCs w:val="18"/>
          <w:color w:val="auto"/>
        </w:rPr>
        <w:t>position, results of operations or cash flows, and has not accrued any liabilities related to such obligations in its condensed consolidated financial statements as of March 31, 2026.</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manages its operations as a single operating segment for the purpose of assessing performance and making operating decisions. The Company’s singular focus is on discovering and developing small molecule drugs with an emphasis on virology and immunology indications. The Company’s Chief Operating Decision Maker (“CODM”) is the Company’s Chief Executive Officer (“CEO”). The CODM reviews consolidated operating results and utilizes net loss from the Statement of Operations against budget forecasts as the primary measure of segment profit or loss in making decisions surrounding allocating resources and assessing performance of the Company. The CODM is regularly provided detailed expense information, including expenses by expense category and program. The CODM makes decisions surrounding capital and personnel allocation using this information on a consolidated basis. Asset information on a reportable segment basis is not disclosed as this information is not separately identified and internally reported to the Company’s CODM. The CODM is regularly provided information on total cash, which is inclusive of cash, cash equivalents and short-term and long-term marketable securities, as a measure of segment assets. As of March 31, 2026, the Company’s cash, cash equivalents and short-term and long-term marketable securities were $227,012. The following table presents selected financial information with respect to the Company’s single operating segment for the three and six months ended March 31, 2026 and 2025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24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4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Royalty revenue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tcPr>
          <w:p>
            <w:pPr>
              <w:spacing w:after="0"/>
              <w:rPr>
                <w:sz w:val="18"/>
                <w:szCs w:val="18"/>
                <w:color w:val="auto"/>
              </w:rPr>
            </w:pPr>
          </w:p>
        </w:tc>
      </w:tr>
      <w:tr>
        <w:trPr>
          <w:trHeight w:val="209"/>
        </w:trPr>
        <w:tc>
          <w:tcPr>
            <w:tcW w:w="41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RSV</w:t>
            </w:r>
          </w:p>
        </w:tc>
        <w:tc>
          <w:tcPr>
            <w:tcW w:w="1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virology</w:t>
            </w:r>
          </w:p>
        </w:tc>
        <w:tc>
          <w:tcPr>
            <w:tcW w:w="1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36,207</w:t>
            </w:r>
          </w:p>
        </w:tc>
        <w:tc>
          <w:tcPr>
            <w:tcW w:w="100" w:type="dxa"/>
            <w:vAlign w:val="bottom"/>
          </w:tcPr>
          <w:p>
            <w:pPr>
              <w:spacing w:after="0"/>
              <w:rPr>
                <w:sz w:val="18"/>
                <w:szCs w:val="18"/>
                <w:color w:val="auto"/>
              </w:rPr>
            </w:pPr>
          </w:p>
        </w:tc>
      </w:tr>
      <w:tr>
        <w:trPr>
          <w:trHeight w:val="210"/>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KIT</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STAT6</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tcPr>
          <w:p>
            <w:pPr>
              <w:spacing w:after="0"/>
              <w:rPr>
                <w:sz w:val="18"/>
                <w:szCs w:val="18"/>
                <w:color w:val="auto"/>
              </w:rPr>
            </w:pPr>
          </w:p>
        </w:tc>
      </w:tr>
      <w:tr>
        <w:trPr>
          <w:trHeight w:val="216"/>
        </w:trPr>
        <w:tc>
          <w:tcPr>
            <w:tcW w:w="4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MRGPRX2</w:t>
            </w:r>
          </w:p>
        </w:tc>
        <w:tc>
          <w:tcPr>
            <w:tcW w:w="1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immunology</w:t>
            </w:r>
          </w:p>
        </w:tc>
        <w:tc>
          <w:tcPr>
            <w:tcW w:w="1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100" w:type="dxa"/>
            <w:vAlign w:val="bottom"/>
          </w:tcPr>
          <w:p>
            <w:pPr>
              <w:spacing w:after="0"/>
              <w:rPr>
                <w:sz w:val="18"/>
                <w:szCs w:val="18"/>
                <w:color w:val="auto"/>
              </w:rPr>
            </w:pPr>
          </w:p>
        </w:tc>
      </w:tr>
      <w:tr>
        <w:trPr>
          <w:trHeight w:val="210"/>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Early discovery</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pipeline programs</w:t>
            </w:r>
          </w:p>
        </w:tc>
        <w:tc>
          <w:tcPr>
            <w:tcW w:w="1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r>
      <w:tr>
        <w:trPr>
          <w:trHeight w:val="209"/>
        </w:trPr>
        <w:tc>
          <w:tcPr>
            <w:tcW w:w="41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programs</w:t>
            </w:r>
          </w:p>
        </w:tc>
        <w:tc>
          <w:tcPr>
            <w:tcW w:w="1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100" w:type="dxa"/>
            <w:vAlign w:val="bottom"/>
          </w:tcPr>
          <w:p>
            <w:pPr>
              <w:spacing w:after="0"/>
              <w:rPr>
                <w:sz w:val="18"/>
                <w:szCs w:val="18"/>
                <w:color w:val="auto"/>
              </w:rPr>
            </w:pPr>
          </w:p>
        </w:tc>
      </w:tr>
      <w:tr>
        <w:trPr>
          <w:trHeight w:val="210"/>
        </w:trPr>
        <w:tc>
          <w:tcPr>
            <w:tcW w:w="41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39,453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58,879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(24,527)</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(48,070)</w:t>
            </w: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(3,676)</w:t>
            </w:r>
          </w:p>
        </w:tc>
      </w:tr>
      <w:tr>
        <w:trPr>
          <w:trHeight w:val="216"/>
        </w:trPr>
        <w:tc>
          <w:tcPr>
            <w:tcW w:w="4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1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(13,084)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(23,949)</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(24,998)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(46,655)</w:t>
            </w:r>
          </w:p>
        </w:tc>
      </w:tr>
      <w:tr>
        <w:trPr>
          <w:trHeight w:val="216"/>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(13,091)</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(22,644)</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(25,029)</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(44,934)</w:t>
            </w:r>
          </w:p>
        </w:tc>
      </w:tr>
      <w:tr>
        <w:trPr>
          <w:trHeight w:val="628"/>
        </w:trPr>
        <w:tc>
          <w:tcPr>
            <w:tcW w:w="4100" w:type="dxa"/>
            <w:vAlign w:val="bottom"/>
            <w:tcBorders>
              <w:top w:val="single" w:sz="8" w:color="CFF0FC"/>
            </w:tcBorders>
          </w:tcPr>
          <w:p>
            <w:pPr>
              <w:spacing w:after="0"/>
              <w:rPr>
                <w:sz w:val="24"/>
                <w:szCs w:val="24"/>
                <w:color w:val="auto"/>
              </w:rPr>
            </w:pPr>
          </w:p>
        </w:tc>
        <w:tc>
          <w:tcPr>
            <w:tcW w:w="1760" w:type="dxa"/>
            <w:vAlign w:val="bottom"/>
            <w:tcBorders>
              <w:top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-3788410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-3788410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-3788410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-3505200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-3505200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-3505200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-2939415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-2939415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-2939415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-2365375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-2365375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-2365375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-2073910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-2073910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-2073910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-1508125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-1508125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-1508125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-933450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-916305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-933450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-916305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-933450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-916305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notes thereto included elsewhere in this Quarterly Report on Form 10-Q, or Form 10-Q, and the audited consolidated financial statements and notes thereto for our fiscal year ended September 30, 2025 included in our Annual Report on Form 10-K for that fiscal year, which is referred to as our 2025 Form 10-K. Please refer to our note regarding forward-looking statements on page 2 of this Form 10-Q, which is incorporated herein by this reference.</w:t>
      </w:r>
    </w:p>
    <w:p>
      <w:pPr>
        <w:spacing w:after="0" w:line="75"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The Enanta name and logo are our trademarks. This Form 10-Q also includes trademarks, trade names and service marks of other persons. All other trademarks, trade names and service marks appearing in this Form 10-Q are the property of their respective owners.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a biotechnology company that uses our robust, chemistry-driven approach and drug discovery capabilities to discover and develop small molecule drugs for virology and immunology indications.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Virology:</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We discovered glecaprevir, the second of two antiviral protease inhibitors developed through our collaboration with AbbVie for the treatment of acute or chronic infection with hepatitis C virus, or HCV. Glecaprevir is co-formulated as part of AbbVie’s leading brand of direct-acting antiviral, or DAA, combination treatment for HCV, which has been marketed under the tradenames MAVYRET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(U.S.) and MAVIRET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(ex-U.S.) (glecaprevir/pibrentasvir) since 2017 for the treatment of chronic HCV. MAVYRET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was also approved as the first and only treatment for acute HCV infection in June 2025.</w:t>
      </w:r>
    </w:p>
    <w:p>
      <w:pPr>
        <w:spacing w:after="0" w:line="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Our active development programs in virology are focused on respiratory syncytial virus, or RSV, the most common cause of bronchiolitis and pneumonia in young children and a significant cause of respiratory illness in older adults. Populations at high risk for severe RSV infection include infants and young children, adults older than 65 years of age, and those with comorbidities such as chronic heart or lung disease. Recent CDC estimates suggest a significant RSV burden in the U.S., with up to 6.5 million outpatient visits, 350,000 hospitalizations and 23,000 deaths annually.</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also have clinical-stage programs in virology for SARS-CoV-2, the virus that causes COVID-19, and Hepatitis B virus, or HBV, the most prevalent chronic hepatitis.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Immunology:</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immunology, we are designing and developing highly potent and selective, oral small molecule inhibitors for the treatment of type 2 inflammatory disease by targeting key mechanisms of the immune response. An overactive immune response is a primary driver of a number of inflammatory diseases for which there is an enduring unmet need including atopic dermatitis, or AD, urticarias, asthma, prurigo nodularis, or PN, chronic rhinosinusitis with nasal polyps, or CRSwNP, as well as some forms of chronic obstructive pulmonary disease, or COPD, and other conditions. Based on industry reports, by 2030 the market is projected to be approximately $5 billion for urticaria, $30 billion for AD and $35 billion for the combined market of asthma, COPD, CRSwNP, and PN.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initial immunology targets involve the following mechanisms of immune response:</w:t>
      </w:r>
    </w:p>
    <w:p>
      <w:pPr>
        <w:spacing w:after="0" w:line="117" w:lineRule="exact"/>
        <w:rPr>
          <w:sz w:val="20"/>
          <w:szCs w:val="20"/>
          <w:color w:val="auto"/>
        </w:rPr>
      </w:pPr>
    </w:p>
    <w:p>
      <w:pPr>
        <w:ind w:left="1020" w:right="2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KIT, a receptor tyrosine kinase, critical for regulating mast cell survival and activation, including release of potent inflammatory mediators such as histamine, which is a primary driver of inflammation and implicated in multiple allergic diseases;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STAT6, a transcription factor uniquely responsible for interleukin-4, or IL-4, and interleukin-13, or IL-13, cell signaling, which drives a type 2 dominant phenotype and downstream inflammation; and</w:t>
      </w:r>
    </w:p>
    <w:p>
      <w:pPr>
        <w:spacing w:after="0" w:line="53"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MRGPRX2, a non-canonical G-Protein-Coupled-Receptor (GPCR) expressed predominantly on mast cells, which upon activation triggers degranulation and release of inflammation mediating components, leading to an inflammatory response that is a driver in multiple allergic diseases.</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These mechanisms are implicated, along with others, in several diseases, and it is not uncommon for an efficacious treatment for one disease to be tested and approved for other immunology indications. In addition, these mechanisms are orthogonal approaches that may provide additive or complementary benefit if used in combination. We currently plan to focus our initial immunology drug development, proof-of-concept efforts on the following disease indications:</w:t>
      </w:r>
    </w:p>
    <w:p>
      <w:pPr>
        <w:spacing w:after="0" w:line="72" w:lineRule="exact"/>
        <w:rPr>
          <w:sz w:val="20"/>
          <w:szCs w:val="20"/>
          <w:color w:val="auto"/>
        </w:rPr>
      </w:pPr>
    </w:p>
    <w:p>
      <w:pPr>
        <w:jc w:val="both"/>
        <w:ind w:left="1020" w:right="2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Urticaria, including 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 1.75–3.5 million people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ind w:left="1020" w:right="520"/>
        <w:spacing w:after="0" w:line="282" w:lineRule="auto"/>
        <w:rPr>
          <w:sz w:val="20"/>
          <w:szCs w:val="20"/>
          <w:color w:val="auto"/>
        </w:rPr>
      </w:pPr>
      <w:r>
        <w:rPr>
          <w:rFonts w:ascii="Times New Roman" w:cs="Times New Roman" w:eastAsia="Times New Roman" w:hAnsi="Times New Roman"/>
          <w:sz w:val="18"/>
          <w:szCs w:val="18"/>
          <w:color w:val="auto"/>
        </w:rPr>
        <w:t>with this condition at any given time in the U.S. alone or chronic inducible urticaria (CIndU) of various forms with a variety of known triggers; and</w:t>
      </w:r>
    </w:p>
    <w:p>
      <w:pPr>
        <w:spacing w:after="0" w:line="54" w:lineRule="exact"/>
        <w:rPr>
          <w:sz w:val="20"/>
          <w:szCs w:val="20"/>
          <w:color w:val="auto"/>
        </w:rPr>
      </w:pPr>
    </w:p>
    <w:p>
      <w:pPr>
        <w:ind w:left="1020" w:right="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 or AD, a chronic dermatological disease characterized by dry, red, inflamed, irritated and itchy skin with significant quality of life impacts such as leading a limited lifestyle, avoidance of social interactions and a reduced range of activities, with AD affecting 7.3% of the U.S. adult population, of whom approximately 40% have moderate to severe disease.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we had $227.0 million in cash, cash equivalents and short-term and long-term marketable securities. Based on our operating plan, we believe that our existing cash, cash equivalents and short-term and long-term marketable securities as of March 31, 2026, as well as the cash flows from our retained portion of future HCV royalties, will enable us to fund our operating expenses and capital expenditure requirements into fiscal 2029.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Wholly-Owned Programs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development programs are wholly-owned, including our RSV and immunology programs.</w:t>
      </w:r>
    </w:p>
    <w:p>
      <w:pPr>
        <w:spacing w:after="0" w:line="113"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color w:val="auto"/>
        </w:rPr>
        <w:t>RSV</w:t>
      </w:r>
      <w:r>
        <w:rPr>
          <w:rFonts w:ascii="Times New Roman" w:cs="Times New Roman" w:eastAsia="Times New Roman" w:hAnsi="Times New Roman"/>
          <w:sz w:val="18"/>
          <w:szCs w:val="18"/>
          <w:color w:val="auto"/>
        </w:rPr>
        <w:t>. We have two clinical stage candidates for RSV – zelicapavir (formerly EDP-938) and EDP-323. Both candidates inhibit viral replication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of new virions. These clinical candidates differ from fusion inhibitors, which act only at viral entry. Zelicapavir, which has Fast Track designation from the U.S. Food and Drug Administration, or FDA, is a potent inhibitor of the RSV N-protein. EDP-323, which also has a Fast Track designation from the FDA, is an inhibitor of the RSV L-protein.</w:t>
      </w:r>
    </w:p>
    <w:p>
      <w:pPr>
        <w:spacing w:after="0" w:line="70" w:lineRule="exact"/>
        <w:rPr>
          <w:sz w:val="20"/>
          <w:szCs w:val="20"/>
          <w:color w:val="auto"/>
        </w:rPr>
      </w:pPr>
    </w:p>
    <w:p>
      <w:pPr>
        <w:ind w:left="1020" w:right="140" w:hanging="503"/>
        <w:spacing w:after="0" w:line="25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Zelicapavir - N-protein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Zelicapavir, a once-daily, oral, direct-acting antiviral selectively targeting the N-protein,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demonstrated statistically significant reductions in RSV viral load and symptoms in a Phase 2 human challenge model clinical study. We believe that zelicapavir has the greatest potential to show optimal efficacy in high-risk populations since these patients have reduced RSV immunity or other comorbidities, which manifest in a higher and longer duration of viral replication and greater disease severity, allowing a bigger window to realize the full potential of zelicapavir. Our development program is focused on evaluating zelicapavir in high-risk populations, including high-risk adults and pediatric patients, all of which have significant unmet need:</w:t>
      </w:r>
    </w:p>
    <w:p>
      <w:pPr>
        <w:spacing w:after="0" w:line="74" w:lineRule="exact"/>
        <w:rPr>
          <w:sz w:val="20"/>
          <w:szCs w:val="20"/>
          <w:color w:val="auto"/>
        </w:rPr>
      </w:pPr>
    </w:p>
    <w:p>
      <w:pPr>
        <w:ind w:left="1500" w:right="380" w:hanging="369"/>
        <w:spacing w:after="0" w:line="267" w:lineRule="auto"/>
        <w:tabs>
          <w:tab w:leader="none" w:pos="1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High-Risk Adults Study of Zelicapavir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September 2025, we announced positive topline results from a Phase 2b randomized,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double-blind, placebo-controlled study evaluating zelicapavir in high-risk adults with RSV, including those who are older than 65 years of age and those who have asthma, chronic obstructive pulmonary disease, or congestive heart failure.</w:t>
      </w:r>
    </w:p>
    <w:p>
      <w:pPr>
        <w:spacing w:after="0" w:line="65" w:lineRule="exact"/>
        <w:rPr>
          <w:rFonts w:ascii="Times New Roman" w:cs="Times New Roman" w:eastAsia="Times New Roman" w:hAnsi="Times New Roman"/>
          <w:sz w:val="18"/>
          <w:szCs w:val="18"/>
          <w:color w:val="auto"/>
        </w:rPr>
      </w:pPr>
    </w:p>
    <w:p>
      <w:pPr>
        <w:ind w:left="1500" w:right="80" w:hanging="369"/>
        <w:spacing w:after="0" w:line="267" w:lineRule="auto"/>
        <w:tabs>
          <w:tab w:leader="none" w:pos="1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Pediatric Study of Zelicapavir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December 2024, we announced positive topline results from the first-in-pediatrics Phase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randomized, double-blind, placebo-controlled study evaluating zelicapavir in hospitalized and non-hospitalized children aged 28 days to 36 months with RSV.</w:t>
      </w:r>
    </w:p>
    <w:p>
      <w:pPr>
        <w:spacing w:after="0" w:line="67" w:lineRule="exact"/>
        <w:rPr>
          <w:sz w:val="20"/>
          <w:szCs w:val="20"/>
          <w:color w:val="auto"/>
        </w:rPr>
      </w:pPr>
    </w:p>
    <w:p>
      <w:pPr>
        <w:ind w:left="1020" w:right="80"/>
        <w:spacing w:after="0" w:line="258" w:lineRule="auto"/>
        <w:rPr>
          <w:sz w:val="20"/>
          <w:szCs w:val="20"/>
          <w:color w:val="auto"/>
        </w:rPr>
      </w:pPr>
      <w:r>
        <w:rPr>
          <w:rFonts w:ascii="Times New Roman" w:cs="Times New Roman" w:eastAsia="Times New Roman" w:hAnsi="Times New Roman"/>
          <w:sz w:val="18"/>
          <w:szCs w:val="18"/>
          <w:color w:val="auto"/>
        </w:rPr>
        <w:t>In these Phase 2 clinical studies, zelicapavir has demonstrated a favorable safety profile, consistent with that observed in over 700 subjects exposed to zelicapavir to date, as well as antiviral activity and reductions in symptom duration. We are continuing to conduct enabling activities for a pivotal study of zelicapavir in high-risk patients with RSV, including engaging with the FDA on the registrational development path. We plan to provide an update on the study design and development path in the second quarter of 2026. In parallel, we are exploring potential business development opportunities related to our RSV programs.</w:t>
      </w:r>
    </w:p>
    <w:p>
      <w:pPr>
        <w:spacing w:after="0" w:line="73" w:lineRule="exact"/>
        <w:rPr>
          <w:sz w:val="20"/>
          <w:szCs w:val="20"/>
          <w:color w:val="auto"/>
        </w:rPr>
      </w:pPr>
    </w:p>
    <w:p>
      <w:pPr>
        <w:ind w:left="1020" w:right="80" w:hanging="503"/>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EDP-323 - L-protein Inhibitor Candidate: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second clinical RSV candidate, EDP-323, is an oral, once-daily, direct-acting antiviral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selectively targeting the RSV L-protein, a viral RNA-dependent RNA polymerase enzyme that contains multiple enzymatic activities required for RSV replication. EDP-323 has sub-nanomolar potency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protected mice from RSV infection in a dose-dependent manner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w:t>
      </w:r>
    </w:p>
    <w:p>
      <w:pPr>
        <w:spacing w:after="0" w:line="74" w:lineRule="exact"/>
        <w:rPr>
          <w:sz w:val="20"/>
          <w:szCs w:val="20"/>
          <w:color w:val="auto"/>
        </w:rPr>
      </w:pPr>
    </w:p>
    <w:p>
      <w:pPr>
        <w:ind w:left="1500" w:hanging="369"/>
        <w:spacing w:after="0" w:line="261" w:lineRule="auto"/>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Phase 2a Study of EDP-323</w:t>
      </w:r>
      <w:r>
        <w:rPr>
          <w:rFonts w:ascii="Times New Roman" w:cs="Times New Roman" w:eastAsia="Times New Roman" w:hAnsi="Times New Roman"/>
          <w:sz w:val="18"/>
          <w:szCs w:val="18"/>
          <w:color w:val="auto"/>
        </w:rPr>
        <w:t>. In September 2024, we announced positive topline results for EDP-323 in a Phase 2a challenge study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healthy adults infected with RSV, which demonstrated statistically significant reductions in RSV viral load and symptoms. In addition, a post-exposure prophylaxis analysis was performed in subjects who were not infected by Day 5 after RSV exposure. The data showed the potential for EDP-323 to be effective in preventing RSV infection when initiated up to five days after RSV exposure.</w:t>
      </w:r>
    </w:p>
    <w:p>
      <w:pPr>
        <w:spacing w:after="0" w:line="7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Immunology</w:t>
      </w:r>
      <w:r>
        <w:rPr>
          <w:rFonts w:ascii="Times New Roman" w:cs="Times New Roman" w:eastAsia="Times New Roman" w:hAnsi="Times New Roman"/>
          <w:sz w:val="18"/>
          <w:szCs w:val="18"/>
          <w:color w:val="auto"/>
        </w:rPr>
        <w:t>. We are leveraging our expertise in developing small molecule inhibitors to design and develop highly potent and selective oral medicines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targeting the following mechanisms of immune response:</w:t>
      </w:r>
    </w:p>
    <w:p>
      <w:pPr>
        <w:spacing w:after="0" w:line="51" w:lineRule="exact"/>
        <w:rPr>
          <w:sz w:val="20"/>
          <w:szCs w:val="20"/>
          <w:color w:val="auto"/>
        </w:rPr>
      </w:pPr>
    </w:p>
    <w:p>
      <w:pPr>
        <w:ind w:left="1020" w:right="3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KIT Inhibitors</w:t>
      </w:r>
      <w:r>
        <w:rPr>
          <w:rFonts w:ascii="Times New Roman" w:cs="Times New Roman" w:eastAsia="Times New Roman" w:hAnsi="Times New Roman"/>
          <w:sz w:val="18"/>
          <w:szCs w:val="18"/>
          <w:color w:val="auto"/>
        </w:rPr>
        <w:t>. We have a clinical-stage program to develop oral KIT inhibitors for the treatment of CSU and potentially other mast cell-associated indications by depleting mast cells, thereby addressing a primary driver of these diseases.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8" w:name="page19"/>
    <w:bookmarkEnd w:id="18"/>
    <w:p>
      <w:pPr>
        <w:ind w:left="1020" w:right="60"/>
        <w:spacing w:after="0" w:line="254" w:lineRule="auto"/>
        <w:rPr>
          <w:sz w:val="20"/>
          <w:szCs w:val="20"/>
          <w:color w:val="auto"/>
        </w:rPr>
      </w:pPr>
      <w:r>
        <w:rPr>
          <w:rFonts w:ascii="Times New Roman" w:cs="Times New Roman" w:eastAsia="Times New Roman" w:hAnsi="Times New Roman"/>
          <w:sz w:val="18"/>
          <w:szCs w:val="18"/>
          <w:color w:val="auto"/>
        </w:rPr>
        <w:t xml:space="preserve">have selected EDP-978 as our clinical candidate. EDP-978 demonstrates potent nanomolar activity in both binding and cellular function assays, sub-nanomolar activity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high selectivity for KIT versus other kinases. EDP-978 also demonstrates strong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absorption, distribution, metabolism and excretion, or ADME, properties, supporting once-daily dosing. In April 2026, we dosed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participant in a randomized, double-blind, placebo-controlled, first-in-human Phase 1 clinical trial. The trial is expected to enroll approximately 98 healthy adult volunteers, ranging in age from 18 to 65 years old, to evaluate the safety, tolerability, pharmacokinetics, and pharmacodynamics, including serum tryptase, of EDP-978. The trial includes a single ascending dose (SAD) phase, with a two-part food-effect cohort, and a multiple ascending dose (MAD) phase with a 14-day treatment period. We expect to report topline data from this trial in the fourth quarter of 2026.</w:t>
      </w:r>
    </w:p>
    <w:p>
      <w:pPr>
        <w:spacing w:after="0" w:line="84" w:lineRule="exact"/>
        <w:rPr>
          <w:sz w:val="20"/>
          <w:szCs w:val="20"/>
          <w:color w:val="auto"/>
        </w:rPr>
      </w:pPr>
    </w:p>
    <w:p>
      <w:pPr>
        <w:ind w:left="1020" w:hanging="503"/>
        <w:spacing w:after="0" w:line="253"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STAT6 Inhibitors</w:t>
      </w:r>
      <w:r>
        <w:rPr>
          <w:rFonts w:ascii="Times New Roman" w:cs="Times New Roman" w:eastAsia="Times New Roman" w:hAnsi="Times New Roman"/>
          <w:sz w:val="18"/>
          <w:szCs w:val="18"/>
          <w:color w:val="auto"/>
        </w:rPr>
        <w:t xml:space="preserve">. We have a pre-clinical stage program to develop oral inhibitors of the signal transducer and activator of transcription 6 transcription factor, known as STAT6, for the treatment of type 2 immune-driven diseases. STAT6 is responsible for IL-4/IL-13 signaling, the pathway targeted by dupilumab, an IL-4 and IL-13 monoclonal antibody marketed as DUPIXENT®. We are initially focusing on AD for a proof-of-concept clinical study, and subsequently other indications where dupilumab is approved or has shown clinical activity. EPS-3903 is our lead development candidate, which has demonstrated nanomolar potency in both binding and cellular assays and is highly selective for STAT6 versus other STATs. EPS-3903 results in a rapid, continuous and complete (&gt;90%) inhibition of phosphorylated STAT6 after oral dosing in mice. Importantly, EPS-3903 shows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comparable to dupilumab, or an anti-mouse IL-4/IL-13 antibody, in multiple disease models of asthma (ovalbumin, house dust mite) and AD (MC903). EPS-3903 displays favorable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ADME properties, supportive of once-daily dosing potential. We are currently performing scale-up and Investigational New Drug application, or IND, enabling activities and are on track to file an IND in the second half of 2026.</w:t>
      </w:r>
    </w:p>
    <w:p>
      <w:pPr>
        <w:spacing w:after="0" w:line="86" w:lineRule="exact"/>
        <w:rPr>
          <w:rFonts w:ascii="Times New Roman" w:cs="Times New Roman" w:eastAsia="Times New Roman" w:hAnsi="Times New Roman"/>
          <w:sz w:val="18"/>
          <w:szCs w:val="18"/>
          <w:color w:val="auto"/>
        </w:rPr>
      </w:pPr>
    </w:p>
    <w:p>
      <w:pPr>
        <w:ind w:left="1020" w:right="240" w:hanging="503"/>
        <w:spacing w:after="0" w:line="25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MRGPRX2 Inhibitors</w:t>
      </w:r>
      <w:r>
        <w:rPr>
          <w:rFonts w:ascii="Times New Roman" w:cs="Times New Roman" w:eastAsia="Times New Roman" w:hAnsi="Times New Roman"/>
          <w:sz w:val="18"/>
          <w:szCs w:val="18"/>
          <w:color w:val="auto"/>
        </w:rPr>
        <w:t xml:space="preserve">. In January 2026, we announced a pre-clinical program targeting MRGPRX2, a non-canonical G protein-coupled receptor, or GPCR, expressed predominantly on mast cells, for the treatment of type 2 immune driven diseases. MRGPRX2 inhibitors act through non-depleting mast cell modulation, including IgE-independent pathways, and may have the potential to address multiple chronic inflammatory diseases, including urticaria, asthma, prurigo nodularis and others, with strong efficacy and a best-in-disease safety profile. Currently, our prototype inhibitors demonstrate MRGPRX2 inhibition with nanomolar potency (EC50 of 1-2nM) in cellular assays and prevent skin mast cell activation in humanized MRGPRX2 mouse models. Further, our prototype inhibitors show potent activity across multiple MRGPRX2 agonists, with high selectivity for MRGPRX2 versus other GPCRs. These prototypes also demonstrate favorable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ADME properties, supportive of once-daily dosing potential. We are continuing to evaluate multiple compounds in pre-clinical studies and expect to select a development candidate in the second half of 2026.</w:t>
      </w:r>
    </w:p>
    <w:p>
      <w:pPr>
        <w:spacing w:after="0" w:line="80"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have utilized our internal chemistry and drug discovery capabilities to generate all of our development-stage programs. We continue to invest substantial resources in research programs to discover compounds targeting new disease areas.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product development pipeline in our virology and immunology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6172200" cy="27260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7220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color w:val="auto"/>
        </w:rPr>
        <w:t>*Fixed-dose antiviral combination contains glecaprevir and AbbVie's NS5A inhibitor, pibrentasvir. Marketed by AbbVie as MAVYRET® (U.S.) and MAVIRET® (ex-U.S.).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**Continued development dependent on a future collaboration.</w:t>
      </w:r>
    </w:p>
    <w:p>
      <w:pPr>
        <w:spacing w:after="0"/>
        <w:rPr>
          <w:sz w:val="20"/>
          <w:szCs w:val="20"/>
          <w:color w:val="auto"/>
        </w:rPr>
      </w:pPr>
      <w:r>
        <w:rPr>
          <w:rFonts w:ascii="Times New Roman" w:cs="Times New Roman" w:eastAsia="Times New Roman" w:hAnsi="Times New Roman"/>
          <w:sz w:val="13"/>
          <w:szCs w:val="13"/>
          <w:color w:val="auto"/>
        </w:rPr>
        <w:t>***Initial indications. Potential future indications include asthma, chronic inducible urticaria (CIndU), eosinophilic esophagitis (EoE); prurigo nodularis (PN), migraine and others.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Royalty Revenue Collaboration and Royalty Sale Agreement</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w:t>
      </w:r>
    </w:p>
    <w:p>
      <w:pPr>
        <w:spacing w:after="0" w:line="6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Glecaprevir is the HCV protease inhibitor we discovered that was developed by AbbVie in a fixed-dose combination with its NS5A inhibitor, pibrentasvir, for the treatment of chronic HCV. In June 2025 it was also approved by the FDA as the first and only treatment for acute HCV infection. This patented combination, currently marketed under the brand names MAVYRET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(U.S.) and MAVIRET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glecaprevir/pibrentasvir combination in MAVYRET/MAVIRET. The annual royalty tiers return to the lowest tier for sales on and after each January 1.</w:t>
      </w:r>
    </w:p>
    <w:p>
      <w:pPr>
        <w:spacing w:after="0" w:line="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accounting purposes, we continue to record 100% of HCV royalties earned under the AbbVie agreement as royalty revenue in our consolidated statements of operations. The $200.0 million received in April 2023 was recognized on our condensed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We are currently funding all research and development for our wholly-owned programs, which are targeted toward the discovery and development of novel compounds. We are currently conducting enabling activities for a pivotal study of zelicapavir in high-risk patients with RSV. In addition, we initiated a Phase 1 clinical trial of EDP-978, our lead immunology program. We are also continuing to conduct pre-clinical discovery research efforts in immunology.</w:t>
      </w:r>
    </w:p>
    <w:p>
      <w:pPr>
        <w:spacing w:after="0" w:line="5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of the timing of our clinical and pre-clinical development programs, we expect our research and development expenses will fluctuate from period to period. In the next 12 months, we expect a reduction in our external research and development expenses, primarily driven by the timing of clinical trials in our RSV programs.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To date, we have funded our operations primarily through royalty payments received under our collaboration agreement with AbbVie, a $200.0 million payment received in April 2023 from our royalty sale agreement and our existing cash, cash equivalents and short-term and long-term marketable securities. Based on our operating plan, we believe that our existing cash, cash equivalents and short-term and long-term marketable securities, as well as the cash flows from our retained portion of future HCV royalties, will enable us to fund our operating expenses and capital expenditure requirements into fiscal 2029.</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revenue is primarily derived from our collaboration agreement with AbbVie and AbbVie’s sales of MAVYRET/MAVIRET, an 8-week treatment regimen for acute or chronic HCV.</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revenue recognized for the three and six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left="419"/>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6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0" w:type="dxa"/>
            <w:vAlign w:val="bottom"/>
          </w:tcPr>
          <w:p>
            <w:pPr>
              <w:spacing w:after="0"/>
              <w:rPr>
                <w:sz w:val="18"/>
                <w:szCs w:val="18"/>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Royalty revenue</w:t>
            </w:r>
          </w:p>
        </w:tc>
        <w:tc>
          <w:tcPr>
            <w:tcW w:w="2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359"/>
              <w:spacing w:after="0"/>
              <w:rPr>
                <w:sz w:val="20"/>
                <w:szCs w:val="20"/>
                <w:color w:val="auto"/>
              </w:rPr>
            </w:pPr>
            <w:r>
              <w:rPr>
                <w:rFonts w:ascii="Times New Roman" w:cs="Times New Roman" w:eastAsia="Times New Roman" w:hAnsi="Times New Roman"/>
                <w:sz w:val="18"/>
                <w:szCs w:val="18"/>
                <w:color w:val="auto"/>
              </w:rPr>
              <w:t>14,926</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80" w:type="dxa"/>
            <w:vAlign w:val="bottom"/>
          </w:tcPr>
          <w:p>
            <w:pPr>
              <w:spacing w:after="0"/>
              <w:rPr>
                <w:sz w:val="21"/>
                <w:szCs w:val="21"/>
                <w:color w:val="auto"/>
              </w:rPr>
            </w:pPr>
          </w:p>
        </w:tc>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center"/>
              <w:ind w:left="359"/>
              <w:spacing w:after="0"/>
              <w:rPr>
                <w:sz w:val="20"/>
                <w:szCs w:val="20"/>
                <w:color w:val="auto"/>
              </w:rPr>
            </w:pPr>
            <w:r>
              <w:rPr>
                <w:rFonts w:ascii="Times New Roman" w:cs="Times New Roman" w:eastAsia="Times New Roman" w:hAnsi="Times New Roman"/>
                <w:sz w:val="18"/>
                <w:szCs w:val="18"/>
                <w:color w:val="auto"/>
              </w:rPr>
              <w:t>14,926</w:t>
            </w:r>
          </w:p>
        </w:tc>
        <w:tc>
          <w:tcPr>
            <w:tcW w:w="6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629"/>
        </w:trPr>
        <w:tc>
          <w:tcPr>
            <w:tcW w:w="80" w:type="dxa"/>
            <w:vAlign w:val="bottom"/>
          </w:tcPr>
          <w:p>
            <w:pPr>
              <w:spacing w:after="0"/>
              <w:rPr>
                <w:sz w:val="24"/>
                <w:szCs w:val="24"/>
                <w:color w:val="auto"/>
              </w:rPr>
            </w:pPr>
          </w:p>
        </w:tc>
        <w:tc>
          <w:tcPr>
            <w:tcW w:w="3280" w:type="dxa"/>
            <w:vAlign w:val="bottom"/>
            <w:tcBorders>
              <w:top w:val="single" w:sz="8" w:color="CFF0FC"/>
            </w:tcBorders>
          </w:tcPr>
          <w:p>
            <w:pPr>
              <w:spacing w:after="0"/>
              <w:rPr>
                <w:sz w:val="24"/>
                <w:szCs w:val="24"/>
                <w:color w:val="auto"/>
              </w:rPr>
            </w:pPr>
          </w:p>
        </w:tc>
        <w:tc>
          <w:tcPr>
            <w:tcW w:w="20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837"/>
              <w:spacing w:after="0"/>
              <w:rPr>
                <w:sz w:val="20"/>
                <w:szCs w:val="20"/>
                <w:color w:val="auto"/>
              </w:rPr>
            </w:pPr>
            <w:r>
              <w:rPr>
                <w:rFonts w:ascii="Times New Roman" w:cs="Times New Roman" w:eastAsia="Times New Roman" w:hAnsi="Times New Roman"/>
                <w:sz w:val="18"/>
                <w:szCs w:val="18"/>
                <w:color w:val="auto"/>
                <w:w w:val="99"/>
              </w:rPr>
              <w:t>20</w:t>
            </w: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-916305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-933450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-916305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-933450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-916305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-933450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-916305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20" w:name="page21"/>
    <w:bookmarkEnd w:id="20"/>
    <w:p>
      <w:pPr>
        <w:ind w:right="480"/>
        <w:spacing w:after="0" w:line="266" w:lineRule="auto"/>
        <w:rPr>
          <w:sz w:val="20"/>
          <w:szCs w:val="20"/>
          <w:color w:val="auto"/>
        </w:rPr>
      </w:pPr>
      <w:r>
        <w:rPr>
          <w:rFonts w:ascii="Times New Roman" w:cs="Times New Roman" w:eastAsia="Times New Roman" w:hAnsi="Times New Roman"/>
          <w:sz w:val="18"/>
          <w:szCs w:val="18"/>
          <w:color w:val="auto"/>
        </w:rPr>
        <w:t>As disclosed above regarding our OMERS royalty sale agreement, we only retain 45.5% of the cash payments from royalties on net sales of MAVYRET/MAVIRET occurring after June 30, 2023 through June 30, 2032, subject to a cap on aggregate payments to OMERS equal to 1.42 times OMERS’ purchase price.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Programs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our internal product candidates are currently in pre-clinical or clinical development, we have not generated any revenue from our own product sales. We do not expect to generate any revenue from product sales derived from these product candidates for at least the next several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are comprised of research and development expenses and general and administrative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pre-clinical study, and clinical trial activities;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related benefits, and stock-based compensation for employees engaged in scientific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At any given time, we have later stage programs in clinical development as well as several active early-stage research and drug discovery projects. Our internal resources, employees and infrastructure are utilized across multiple projects, including our early-stage discovery projects. As such, we report information regarding costs incurred based on our programs (i.e., disease area) rather than on a project specific basis. All indirect costs are allocated to programs based on headcount and square footage of our facilities. We expect that our research and development expenses will fluctuate from period to period as we advance our research and development programs. However, in the next 12 months, we expect a reduction in our external research and development expenses, primarily driven by the timing of clinical trials in our RSV programs. To date, we have not identified any significant impact of inflation on spending in research and development, but it is uncertain whether there will be inflationary impacts in future periods.</w:t>
      </w:r>
    </w:p>
    <w:p>
      <w:pPr>
        <w:spacing w:after="0" w:line="8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litigation.</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expect that general and administrative expenses may increase in the long term. To date we have not experienced a significant impact of inflation on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Other income (expense) consists of interest expense, interest and investment income, net and the change in fair value of our outstanding Series 1 nonconvertible preferred stock. Interest expense consists of the interest expense and amortization of debt issuance costs associated with the royalty sale agreement with an affiliate of OMERS. Interest income consists of interest earned on our cash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p>
      <w:pPr>
        <w:ind w:right="340"/>
        <w:spacing w:after="0" w:line="261" w:lineRule="auto"/>
        <w:rPr>
          <w:sz w:val="20"/>
          <w:szCs w:val="20"/>
          <w:color w:val="auto"/>
        </w:rPr>
      </w:pPr>
      <w:r>
        <w:rPr>
          <w:rFonts w:ascii="Times New Roman" w:cs="Times New Roman" w:eastAsia="Times New Roman" w:hAnsi="Times New Roman"/>
          <w:sz w:val="18"/>
          <w:szCs w:val="18"/>
          <w:color w:val="auto"/>
        </w:rPr>
        <w:t>equivalents and marketable securities balances. Investment income consists of the amortization or accretion of any purchased premium or discount, respectively, on our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Income tax (expense) benefit is based on our best estimate of taxable net income (loss), applicable income tax rates, net research and development tax credits and carryforwards, net operating loss carrybacks and interest earned on such refunds, changes in valuation allowance estimates and deferred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18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Borders>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60" w:type="dxa"/>
            <w:vAlign w:val="bottom"/>
            <w:gridSpan w:val="2"/>
          </w:tcPr>
          <w:p>
            <w:pPr>
              <w:jc w:val="center"/>
              <w:ind w:right="736"/>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500" w:type="dxa"/>
            <w:vAlign w:val="bottom"/>
            <w:gridSpan w:val="2"/>
            <w:shd w:val="clear" w:color="auto" w:fill="CFF0FC"/>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200" w:type="dxa"/>
            <w:vAlign w:val="bottom"/>
            <w:tcBorders>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jc w:val="center"/>
              <w:ind w:right="9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00" w:type="dxa"/>
            <w:vAlign w:val="bottom"/>
          </w:tcPr>
          <w:p>
            <w:pPr>
              <w:spacing w:after="0"/>
              <w:rPr>
                <w:sz w:val="18"/>
                <w:szCs w:val="18"/>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200" w:type="dxa"/>
            <w:vAlign w:val="bottom"/>
            <w:tcBorders>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(3,316)</w:t>
            </w:r>
          </w:p>
        </w:tc>
        <w:tc>
          <w:tcPr>
            <w:tcW w:w="1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(1,714)</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2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00" w:type="dxa"/>
            <w:vAlign w:val="bottom"/>
            <w:tcBorders>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shd w:val="clear" w:color="auto" w:fill="CFF0FC"/>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(13,091)</w:t>
            </w:r>
          </w:p>
        </w:tc>
        <w:tc>
          <w:tcPr>
            <w:tcW w:w="1160" w:type="dxa"/>
            <w:vAlign w:val="bottom"/>
            <w:shd w:val="clear" w:color="auto" w:fill="CFF0FC"/>
          </w:tcPr>
          <w:p>
            <w:pPr>
              <w:jc w:val="center"/>
              <w:ind w:right="9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(22,644)</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23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recognized revenue of $17.2 million during the three months ended March 31, 2026 as compared to $14.9 million during the three months ended March 31, 2025. The $2.2 million increase in revenue was primarily due to AbbVie’s higher reported HCV sales as compared to the same period in 2025.</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royalty revenues eligible to be earned in the future will depend on AbbVie’s HCV market share, the pricing of the MAVYRET/MAVIRET regimen, the number of patients treated and the effect of the label expansion for MAVYRET in the United States for the treatment of patients with acute HCV. In addition, at the beginning of each calendar year (the second quarter of our fiscal year), our royalty rate resets to the lowest tier for each of our royalty-bearing products licensed to AbbVie.</w:t>
      </w:r>
    </w:p>
    <w:p>
      <w:pPr>
        <w:spacing w:after="0" w:line="7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Beginning with the three months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condensed consolidated balance sheets as a liability which will be reduced by the payments made to OMERS over the term of the royalty sale agreement. We will continue to record 100% of HCV royalties earned under the AbbVie Agreement as royalty revenue in our condensed consolidated statements of operations since the AbbVie Agreement has not been amended and is independent of our agreement with OMERS.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320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00" w:type="dxa"/>
            <w:vAlign w:val="bottom"/>
          </w:tcPr>
          <w:p>
            <w:pPr>
              <w:spacing w:after="0"/>
              <w:rPr>
                <w:sz w:val="12"/>
                <w:szCs w:val="12"/>
                <w:color w:val="auto"/>
              </w:rPr>
            </w:pPr>
          </w:p>
        </w:tc>
        <w:tc>
          <w:tcPr>
            <w:tcW w:w="11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400" w:type="dxa"/>
            <w:vAlign w:val="bottom"/>
            <w:gridSpan w:val="2"/>
          </w:tcPr>
          <w:p>
            <w:pPr>
              <w:jc w:val="center"/>
              <w:ind w:right="78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RSV</w:t>
            </w:r>
          </w:p>
        </w:tc>
        <w:tc>
          <w:tcPr>
            <w:tcW w:w="116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400" w:type="dxa"/>
            <w:vAlign w:val="bottom"/>
            <w:gridSpan w:val="2"/>
            <w:shd w:val="clear" w:color="auto" w:fill="CFF0FC"/>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00" w:type="dxa"/>
            <w:vAlign w:val="bottom"/>
            <w:shd w:val="clear" w:color="auto" w:fill="CFF0FC"/>
          </w:tcPr>
          <w:p>
            <w:pPr>
              <w:spacing w:after="0"/>
              <w:rPr>
                <w:sz w:val="18"/>
                <w:szCs w:val="18"/>
                <w:color w:val="auto"/>
              </w:rPr>
            </w:pPr>
          </w:p>
        </w:tc>
      </w:tr>
      <w:tr>
        <w:trPr>
          <w:trHeight w:val="20"/>
        </w:trPr>
        <w:tc>
          <w:tcPr>
            <w:tcW w:w="7300" w:type="dxa"/>
            <w:vAlign w:val="bottom"/>
            <w:tcBorders>
              <w:right w:val="single" w:sz="8" w:color="CFF0FC"/>
            </w:tcBorders>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0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1160" w:type="dxa"/>
            <w:vAlign w:val="bottom"/>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40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17,794</w:t>
            </w:r>
          </w:p>
        </w:tc>
        <w:tc>
          <w:tcPr>
            <w:tcW w:w="100" w:type="dxa"/>
            <w:vAlign w:val="bottom"/>
          </w:tcPr>
          <w:p>
            <w:pPr>
              <w:spacing w:after="0"/>
              <w:rPr>
                <w:sz w:val="18"/>
                <w:szCs w:val="18"/>
                <w:color w:val="auto"/>
              </w:rPr>
            </w:pPr>
          </w:p>
        </w:tc>
      </w:tr>
      <w:tr>
        <w:trPr>
          <w:trHeight w:val="216"/>
        </w:trPr>
        <w:tc>
          <w:tcPr>
            <w:tcW w:w="73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KIT</w:t>
            </w: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18"/>
                <w:szCs w:val="18"/>
                <w:color w:val="auto"/>
              </w:rPr>
            </w:pPr>
          </w:p>
        </w:tc>
      </w:tr>
      <w:tr>
        <w:trPr>
          <w:trHeight w:val="216"/>
        </w:trPr>
        <w:tc>
          <w:tcPr>
            <w:tcW w:w="73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STAT6</w:t>
            </w: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MRGPRX2</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Pr>
          <w:p>
            <w:pPr>
              <w:spacing w:after="0"/>
              <w:rPr>
                <w:sz w:val="18"/>
                <w:szCs w:val="18"/>
                <w:color w:val="auto"/>
              </w:rPr>
            </w:pPr>
          </w:p>
        </w:tc>
      </w:tr>
      <w:tr>
        <w:trPr>
          <w:trHeight w:val="209"/>
        </w:trPr>
        <w:tc>
          <w:tcPr>
            <w:tcW w:w="73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116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400" w:type="dxa"/>
            <w:vAlign w:val="bottom"/>
            <w:gridSpan w:val="2"/>
            <w:shd w:val="clear" w:color="auto" w:fill="CFF0FC"/>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Early discovery</w:t>
            </w:r>
          </w:p>
        </w:tc>
        <w:tc>
          <w:tcPr>
            <w:tcW w:w="1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pipeline programs</w:t>
            </w: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8"/>
                <w:szCs w:val="18"/>
                <w:color w:val="auto"/>
              </w:rPr>
            </w:pPr>
          </w:p>
        </w:tc>
      </w:tr>
      <w:tr>
        <w:trPr>
          <w:trHeight w:val="209"/>
        </w:trPr>
        <w:tc>
          <w:tcPr>
            <w:tcW w:w="730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1160" w:type="dxa"/>
            <w:vAlign w:val="bottom"/>
            <w:shd w:val="clear" w:color="auto" w:fill="CFF0FC"/>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400" w:type="dxa"/>
            <w:vAlign w:val="bottom"/>
            <w:gridSpan w:val="2"/>
            <w:shd w:val="clear" w:color="auto" w:fill="CFF0FC"/>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FF0FC"/>
          </w:tcPr>
          <w:p>
            <w:pPr>
              <w:spacing w:after="0"/>
              <w:rPr>
                <w:sz w:val="18"/>
                <w:szCs w:val="18"/>
                <w:color w:val="auto"/>
              </w:rPr>
            </w:pPr>
          </w:p>
        </w:tc>
      </w:tr>
      <w:tr>
        <w:trPr>
          <w:trHeight w:val="20"/>
        </w:trPr>
        <w:tc>
          <w:tcPr>
            <w:tcW w:w="7300" w:type="dxa"/>
            <w:vAlign w:val="bottom"/>
            <w:tcBorders>
              <w:right w:val="single" w:sz="8" w:color="CFF0FC"/>
            </w:tcBorders>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tcPr>
          <w:p>
            <w:pPr>
              <w:jc w:val="right"/>
              <w:ind w:right="9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1400" w:type="dxa"/>
            <w:vAlign w:val="bottom"/>
            <w:gridSpan w:val="2"/>
          </w:tcPr>
          <w:p>
            <w:pPr>
              <w:jc w:val="center"/>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-1567815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decreased by $8.6 million compared to the same period in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 our virology programs decreased by $12.9 million due to the timing of clinical trials in our RSV programs.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 our immunology programs increased by $3.0 million due to scale-up and IND-enabling activities for such programs.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program costs increased by $1.3 million as we advanced early-stage drug discovery efforts.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$1.8 million for the three months ended March 31, 2026 compared to the same period in 2025. The decrease was primarily due to lower stock-based compensation expenses during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Interest expense increased by $1.6 million for the three months ended March 31, 2026, as compared to the same period in 2025, due to an increase in royalties arising from AbbVie’s product sales under the AbbVie Agreement and corresponding royalty payment to OMERS arising from such sales pursuant to our OMERS royalty sales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decreased by $0.2 million for the three months ended March 31, 2026, as compared to the same period in 2025. The decrease was due to lower interest rates year over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income tax expense of less than $0.1 million during the three months ended March 31, 2026 was primarily due to state income taxes. The income tax benefit during the three months ended March 31, 2025 was primarily due to an additional federal income tax refund from a net operating loss carryback of $0.9 million. We received the federal income tax refund of $33.8 million, inclusive of interest, in April 2025.</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which includes several changes to U.S. federal income tax law, including the temporary and permanent extension of expiring provisions of the Tax Cuts and Jobs Act of 2017, such as 100% bonus depreciation and immediate expensing of domestic research and development costs. The new legislation has multiple effective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3" w:name="page24"/>
    <w:bookmarkEnd w:id="23"/>
    <w:p>
      <w:pPr>
        <w:ind w:right="740"/>
        <w:spacing w:after="0" w:line="282" w:lineRule="auto"/>
        <w:rPr>
          <w:sz w:val="20"/>
          <w:szCs w:val="20"/>
          <w:color w:val="auto"/>
        </w:rPr>
      </w:pPr>
      <w:r>
        <w:rPr>
          <w:rFonts w:ascii="Times New Roman" w:cs="Times New Roman" w:eastAsia="Times New Roman" w:hAnsi="Times New Roman"/>
          <w:sz w:val="18"/>
          <w:szCs w:val="18"/>
          <w:color w:val="auto"/>
        </w:rPr>
        <w:t>dates, with certain provisions effective in 2025 and others in the future. We determined that the legislation does not have a material impact on our condensed consolidated financial statements for the three and six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March 31, 2026 and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4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2"/>
          </w:tcPr>
          <w:p>
            <w:pPr>
              <w:jc w:val="center"/>
              <w:ind w:right="450"/>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30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center"/>
              <w:ind w:right="6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(6,399)</w:t>
            </w:r>
          </w:p>
        </w:tc>
        <w:tc>
          <w:tcPr>
            <w:tcW w:w="8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(3,676)</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20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(25,029)</w:t>
            </w:r>
          </w:p>
        </w:tc>
        <w:tc>
          <w:tcPr>
            <w:tcW w:w="840" w:type="dxa"/>
            <w:vAlign w:val="bottom"/>
            <w:shd w:val="clear" w:color="auto" w:fill="CFF0FC"/>
          </w:tcPr>
          <w:p>
            <w:pPr>
              <w:jc w:val="center"/>
              <w:ind w:right="6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(44,934)</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-25400</wp:posOffset>
            </wp:positionV>
            <wp:extent cx="774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We recognized revenue of $35.8 million during the six months ended March 31, 2026 as compared to $31.9 million during the six months ended March 31, 2025. The $3.9 million increase in revenue was primarily due to AbbVie’s higher reported HCV sales as compared to the same period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60" w:type="dxa"/>
            <w:vAlign w:val="bottom"/>
            <w:gridSpan w:val="2"/>
          </w:tcPr>
          <w:p>
            <w:pPr>
              <w:jc w:val="center"/>
              <w:ind w:right="540"/>
              <w:spacing w:after="0" w:line="142"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8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R&amp;D programs:</w:t>
            </w: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Virology</w:t>
            </w: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RSV</w:t>
            </w:r>
          </w:p>
        </w:tc>
        <w:tc>
          <w:tcPr>
            <w:tcW w:w="1240" w:type="dxa"/>
            <w:vAlign w:val="bottom"/>
            <w:shd w:val="clear" w:color="auto" w:fill="CFF0FC"/>
          </w:tcPr>
          <w:p>
            <w:pPr>
              <w:jc w:val="right"/>
              <w:ind w:right="107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60" w:type="dxa"/>
            <w:vAlign w:val="bottom"/>
            <w:gridSpan w:val="2"/>
            <w:shd w:val="clear" w:color="auto" w:fill="CFF0FC"/>
          </w:tcPr>
          <w:p>
            <w:pPr>
              <w:jc w:val="center"/>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36,207</w:t>
            </w:r>
          </w:p>
        </w:tc>
        <w:tc>
          <w:tcPr>
            <w:tcW w:w="100" w:type="dxa"/>
            <w:vAlign w:val="bottom"/>
            <w:shd w:val="clear" w:color="auto" w:fill="CFF0FC"/>
          </w:tcPr>
          <w:p>
            <w:pPr>
              <w:spacing w:after="0"/>
              <w:rPr>
                <w:sz w:val="18"/>
                <w:szCs w:val="18"/>
                <w:color w:val="auto"/>
              </w:rPr>
            </w:pPr>
          </w:p>
        </w:tc>
      </w:tr>
      <w:tr>
        <w:trPr>
          <w:trHeight w:val="20"/>
        </w:trPr>
        <w:tc>
          <w:tcPr>
            <w:tcW w:w="6680" w:type="dxa"/>
            <w:vAlign w:val="bottom"/>
            <w:tcBorders>
              <w:right w:val="single" w:sz="8" w:color="CFF0FC"/>
            </w:tcBorders>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Total Virology</w:t>
            </w:r>
          </w:p>
        </w:tc>
        <w:tc>
          <w:tcPr>
            <w:tcW w:w="1240" w:type="dxa"/>
            <w:vAlign w:val="bottom"/>
          </w:tcPr>
          <w:p>
            <w:pPr>
              <w:jc w:val="right"/>
              <w:ind w:right="107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10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36,207</w:t>
            </w:r>
          </w:p>
        </w:tc>
        <w:tc>
          <w:tcPr>
            <w:tcW w:w="100" w:type="dxa"/>
            <w:vAlign w:val="bottom"/>
          </w:tcPr>
          <w:p>
            <w:pPr>
              <w:spacing w:after="0"/>
              <w:rPr>
                <w:sz w:val="18"/>
                <w:szCs w:val="18"/>
                <w:color w:val="auto"/>
              </w:rPr>
            </w:pPr>
          </w:p>
        </w:tc>
      </w:tr>
      <w:tr>
        <w:trPr>
          <w:trHeight w:val="216"/>
        </w:trPr>
        <w:tc>
          <w:tcPr>
            <w:tcW w:w="668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Immunology</w:t>
            </w: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KIT</w:t>
            </w:r>
          </w:p>
        </w:tc>
        <w:tc>
          <w:tcPr>
            <w:tcW w:w="1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100" w:type="dxa"/>
            <w:vAlign w:val="bottom"/>
          </w:tcPr>
          <w:p>
            <w:pPr>
              <w:spacing w:after="0"/>
              <w:rPr>
                <w:sz w:val="18"/>
                <w:szCs w:val="18"/>
                <w:color w:val="auto"/>
              </w:rPr>
            </w:pPr>
          </w:p>
        </w:tc>
      </w:tr>
      <w:tr>
        <w:trPr>
          <w:trHeight w:val="216"/>
        </w:trPr>
        <w:tc>
          <w:tcPr>
            <w:tcW w:w="668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STAT6</w:t>
            </w: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MRGPRX2</w:t>
            </w:r>
          </w:p>
        </w:tc>
        <w:tc>
          <w:tcPr>
            <w:tcW w:w="1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tcPr>
          <w:p>
            <w:pPr>
              <w:spacing w:after="0"/>
              <w:rPr>
                <w:sz w:val="18"/>
                <w:szCs w:val="18"/>
                <w:color w:val="auto"/>
              </w:rPr>
            </w:pPr>
          </w:p>
        </w:tc>
      </w:tr>
      <w:tr>
        <w:trPr>
          <w:trHeight w:val="209"/>
        </w:trPr>
        <w:tc>
          <w:tcPr>
            <w:tcW w:w="6680" w:type="dxa"/>
            <w:vAlign w:val="bottom"/>
            <w:tcBorders>
              <w:right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i w:val="1"/>
                <w:iCs w:val="1"/>
                <w:color w:val="auto"/>
              </w:rPr>
              <w:t>Total Immunology</w:t>
            </w:r>
          </w:p>
        </w:tc>
        <w:tc>
          <w:tcPr>
            <w:tcW w:w="1240" w:type="dxa"/>
            <w:vAlign w:val="bottom"/>
            <w:shd w:val="clear" w:color="auto" w:fill="CFF0FC"/>
          </w:tcPr>
          <w:p>
            <w:pPr>
              <w:jc w:val="right"/>
              <w:ind w:right="107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26,935</w:t>
            </w:r>
          </w:p>
        </w:tc>
        <w:tc>
          <w:tcPr>
            <w:tcW w:w="1060" w:type="dxa"/>
            <w:vAlign w:val="bottom"/>
            <w:gridSpan w:val="2"/>
            <w:shd w:val="clear" w:color="auto" w:fill="CFF0FC"/>
          </w:tcPr>
          <w:p>
            <w:pPr>
              <w:jc w:val="center"/>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18,386</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Programs</w:t>
            </w: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8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Early discovery</w:t>
            </w: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8"/>
                <w:szCs w:val="18"/>
                <w:color w:val="auto"/>
              </w:rPr>
            </w:pPr>
          </w:p>
        </w:tc>
      </w:tr>
      <w:tr>
        <w:trPr>
          <w:trHeight w:val="216"/>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pipeline programs</w:t>
            </w:r>
          </w:p>
        </w:tc>
        <w:tc>
          <w:tcPr>
            <w:tcW w:w="1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r>
      <w:tr>
        <w:trPr>
          <w:trHeight w:val="210"/>
        </w:trPr>
        <w:tc>
          <w:tcPr>
            <w:tcW w:w="6680" w:type="dxa"/>
            <w:vAlign w:val="bottom"/>
            <w:tcBorders>
              <w:right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i w:val="1"/>
                <w:iCs w:val="1"/>
                <w:color w:val="auto"/>
              </w:rPr>
              <w:t>Total Other Programs</w:t>
            </w:r>
          </w:p>
        </w:tc>
        <w:tc>
          <w:tcPr>
            <w:tcW w:w="1240" w:type="dxa"/>
            <w:vAlign w:val="bottom"/>
            <w:shd w:val="clear" w:color="auto" w:fill="CFF0FC"/>
          </w:tcPr>
          <w:p>
            <w:pPr>
              <w:jc w:val="right"/>
              <w:ind w:right="107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60" w:type="dxa"/>
            <w:vAlign w:val="bottom"/>
            <w:gridSpan w:val="2"/>
            <w:shd w:val="clear" w:color="auto" w:fill="CFF0FC"/>
          </w:tcPr>
          <w:p>
            <w:pPr>
              <w:jc w:val="center"/>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FF0FC"/>
          </w:tcPr>
          <w:p>
            <w:pPr>
              <w:spacing w:after="0"/>
              <w:rPr>
                <w:sz w:val="18"/>
                <w:szCs w:val="18"/>
                <w:color w:val="auto"/>
              </w:rPr>
            </w:pPr>
          </w:p>
        </w:tc>
      </w:tr>
      <w:tr>
        <w:trPr>
          <w:trHeight w:val="20"/>
        </w:trPr>
        <w:tc>
          <w:tcPr>
            <w:tcW w:w="6680" w:type="dxa"/>
            <w:vAlign w:val="bottom"/>
            <w:tcBorders>
              <w:right w:val="single" w:sz="8" w:color="CFF0FC"/>
            </w:tcBorders>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40" w:type="dxa"/>
            <w:vAlign w:val="bottom"/>
          </w:tcPr>
          <w:p>
            <w:pPr>
              <w:jc w:val="right"/>
              <w:ind w:right="107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40,302</w:t>
            </w:r>
          </w:p>
        </w:tc>
        <w:tc>
          <w:tcPr>
            <w:tcW w:w="10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10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-1567815</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six months ended March 31, 2026 decreased by $15.4 million compared to the same period in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 our virology program decreased by $26.4 million due to the timing of our clinical trials in our RSV program.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in our immunology programs increased by $8.5 million due to scale-up and IND-enabling activities for such programs.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program costs increased by $2.4 million as we advanced early-stage drug discovery efforts.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$5.7 million for the six months ended March 31, 2026 compared to the same period in 2025. The decrease was primarily due to lower stock-based compensation expenses during the six months ended March 31, 2026 and a decrease in legal expenses related to our patent infringement suit against Pfizer for the ’953 Patent.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components of other income (expense)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expense increased by $2.7 million for the six months ended March 31, 2026, as compared to the same period in 2025 due to an increase in royalties arising from AbbVie’s product sales under the AbbVie Agreement and corresponding royalty payment to OMERS arising from such sales pursuant to our OMERS royalty sales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investment income, net</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and investment income, net, decreased by $0.6 million for the six months ended March 31, 2026, as compared to the same period in 2025. The decrease was due to lower interest rates year over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income tax expense of less than $0.1 million during the six months ended March 31, 2026 was primarily due to state income taxes. The income tax benefit during the six months ended March 31, 2025 was primarily due to an additional federal income tax refund from a net operating loss carryback of $0.9 million. We received the federal income tax refund of $33.8 million, inclusive of interest, in April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fund our operations with cash flows from our retained portion of our royalty revenue and our existing financial resources. At March 31, 2026, our principal sources of liquidity were cash and cash equivalents and short-term and long-term marketable securities of $227.0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5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00" w:type="dxa"/>
            <w:vAlign w:val="bottom"/>
            <w:gridSpan w:val="2"/>
          </w:tcPr>
          <w:p>
            <w:pPr>
              <w:jc w:val="right"/>
              <w:ind w:right="63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16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64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(18,855)</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(30,289)</w:t>
            </w:r>
          </w:p>
        </w:tc>
      </w:tr>
      <w:tr>
        <w:trPr>
          <w:trHeight w:val="216"/>
        </w:trPr>
        <w:tc>
          <w:tcPr>
            <w:tcW w:w="59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6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(35,356)</w:t>
            </w:r>
          </w:p>
        </w:tc>
        <w:tc>
          <w:tcPr>
            <w:tcW w:w="10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64,534</w:t>
            </w:r>
          </w:p>
        </w:tc>
      </w:tr>
      <w:tr>
        <w:trPr>
          <w:trHeight w:val="216"/>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56,841</w:t>
            </w:r>
          </w:p>
        </w:tc>
        <w:tc>
          <w:tcPr>
            <w:tcW w:w="10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(11,873)</w:t>
            </w:r>
          </w:p>
        </w:tc>
      </w:tr>
      <w:tr>
        <w:trPr>
          <w:trHeight w:val="20"/>
        </w:trPr>
        <w:tc>
          <w:tcPr>
            <w:tcW w:w="5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59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6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2,630</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22,372</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was $18.9 million for the six months ended March 31, 2026 as compared to cash used in operating activities of $30.3 million for the same period in 2025. Our cash used in operating activities decreased by $11.4 million primarily due to lower research and development payments.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investing activities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$35.4 million for the six months ended March 31, 2026 as compared to cash provided by investing activities of $64.5 million for the same period in 2025. Our cash used in investing activities increased by $99.9 million, driven by the timing of purchases and maturities of marketable securities in 2026 compared to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was $56.8 million for the six months ended March 31, 2026 as compared to cash used in financing activities of $11.9 million for the same period in 2025. Our cash provided by financing activities increased by $68.7 million, driven primarily by proceeds received from our public offering which closed in October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2026, we had $227.0 million in cash, cash equivalents and short-term and long-term marketable securities. Based on our operating plan, we believe that our existing cash, cash equivalents and short-term and long-term marketable securities as of March 31, 2026, as well as the cash flows from our retained portion of future HCV royalties, will enable us to fund our operating expenses and capital expenditure requirements into fiscal 2029. However, our projection of the period of time through which our financial resources will be adequate to support our operations is a forward-looking statement that involves risks and uncertainties, and actual results could vary materially.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our research and development programs;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on our own, including conducting advanced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collaborations, licensing or other arrangements, if any, and the financial terms of such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retained portion of royalties generated from MAVYRET/MAVIRET sales under our existing collaboration with AbbVie;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additional expenses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for clinical development and any products we successfully commercialize independently;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in-license or otherwise acquire new technologies and therapeutic candidates;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our patent infringement litigation regarding use of a coronavirus 3CL protease inhibitor in Paxlovid, Pfizer's antiviral treatment for COVID-19;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any product candidates we develop independently;</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any product candidates we develop independently that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sales of our product candidates, if any, or royalties thereon;</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patents, including any litigation costs and the outcomes of any such litigation;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we lease space in Watertown, Massachusetts, under two separate lease agreements with one landlord.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6" w:name="page27"/>
    <w:bookmarkEnd w:id="26"/>
    <w:p>
      <w:pPr>
        <w:ind w:right="20"/>
        <w:spacing w:after="0" w:line="256" w:lineRule="auto"/>
        <w:rPr>
          <w:sz w:val="20"/>
          <w:szCs w:val="20"/>
          <w:color w:val="auto"/>
        </w:rPr>
      </w:pPr>
      <w:r>
        <w:rPr>
          <w:rFonts w:ascii="Times New Roman" w:cs="Times New Roman" w:eastAsia="Times New Roman" w:hAnsi="Times New Roman"/>
          <w:sz w:val="18"/>
          <w:szCs w:val="18"/>
          <w:color w:val="auto"/>
        </w:rPr>
        <w:t>In May 2022, we entered into a ten-year lease for new laboratory and office space in Watertown, Massachusetts, adjacent to our 400 Talcott Avenue premises at Arsenal on the Charles at 4 Kingsbury Avenue since our lease for office and laboratory space at 500 Arsenal Street was to expire on September 1, 2027. The construction of the facility shell was completed and we gained access to the building to construct tenant improvements during the three months ended March 31, 2024. Upon gaining access to the 4 Kingsbury Avenue building, we capitalized a right-of-use asset and lease liability of approximately $32 million on our consolidated balance sheets which reflects our fixed base rent payments, net of approximately $15 million of a tenant improvement allowance provided by the landlord, over the 10-year term of the lease. The 4 Kingsbury Avenue lease ends on September 30, 2034.</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conjunction with the commencement of our lease at 4 Kingsbury Avenue, during the three months ended March 31, 2024, we adjusted our 500 Arsenal Street lease liability to shorten the expiration date from September 2027 to the date the 4 Kingsbury Avenue building became ready for our occupancy. This resulted in a decrease in the lease liability and right-of-use asset on our consolidated balance sheets by approximately $9.0 million. The rent commencement date for our 4 Kingsbury Avenue lease was September 12, 2024, and we moved into the space in November 2024, at which time our lease at 500 Arsenal Street expired.</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second lease for office space located at 400 Talcott Avenue commenced on September 24, 2018 for a term of six years. In May 2022, we amended this lease to expand the rented space and extend the lease term through June 1, 2034. We spent approximately $6.3 million in capital expenditures for the additional space, which primarily relate to tenant improvements. We received a tenant improvement allowance from the landlord of $2.5 million. In July 2024, we amended our lease agreement to confirm alignment with the lease end date of our 4 Kingsbury Avenue lease at September 30, 2034.</w:t>
      </w:r>
    </w:p>
    <w:p>
      <w:pPr>
        <w:spacing w:after="0" w:line="7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Total estimated minimum lease payments for the next 5 years and thereafter under our existing facility and leased equipment agreements are $4.2 million for the remainder of 2026, $8.7 million in 2027, $9.0 million in 2028, $9.3 million in 2029, $9.5 million in 2030, and $41.1 million thereafter.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OMERS Agreement</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w:t>
      </w:r>
    </w:p>
    <w:p>
      <w:pPr>
        <w:spacing w:after="0" w:line="6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$200.0 million received in April 2023 was recognized on our condensed consolidated balance sheets as a liability which will be reduced by the payments made to OMERS over the term of the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2026, we had 1.9 million outstanding shares of Series 1 nonconvertible preferred stock, all of which we classified as a long-term liability on our consolidated balance sheet and recorded at fair value of $1.3 million. The fair value of the preferred stock was measured based on significant inputs not observable in the market, which represented a Level 3 measurement within the fair value hierarchy. The fair value of these instruments represents less than 10% of liabilities as of March 31, 2026. The Series 1 nonconvertible preferred stock issued would require the payment of $2.0 million in the event of a qualifying merger or sale of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of America. The preparation of our condensed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2025 Form 10-K for information about our critical accounting policies as well as a description of our other significant accounting policies. There have been no significant changes to our critical accounting policies since the beginning of this fiscal year.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set forth in Note 2 to the condensed consolidated financial statements included in this Form 10-Q.</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2026, there were no material changes to our market risk disclosures as set forth in Part II, Item 7A “Quantitative and Qualitative Disclosures About Market Risk” in our Annual Report on Form 10-K for the fiscal year ended September 30,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3" w:lineRule="exact"/>
        <w:rPr>
          <w:sz w:val="20"/>
          <w:szCs w:val="20"/>
          <w:color w:val="auto"/>
        </w:rPr>
      </w:pPr>
    </w:p>
    <w:p>
      <w:pPr>
        <w:ind w:right="48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and Internal Control over Financial Reporting </w:t>
      </w:r>
      <w:r>
        <w:rPr>
          <w:rFonts w:ascii="Times New Roman" w:cs="Times New Roman" w:eastAsia="Times New Roman" w:hAnsi="Times New Roman"/>
          <w:sz w:val="18"/>
          <w:szCs w:val="18"/>
          <w:i w:val="1"/>
          <w:iCs w:val="1"/>
          <w:color w:val="auto"/>
        </w:rPr>
        <w:t>Evaluation of Disclosure Controls and Procedures.</w:t>
      </w:r>
    </w:p>
    <w:p>
      <w:pPr>
        <w:ind w:right="12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with respect to legal proceedings is included in Note 10 of the Notes to the Unaudited Condensed Consolidated Financial Statements contained in Part I, Item 1 of this Quarterly Report on Form 10-Q, which is incorporated herein by reference.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2025 Form 10-K.</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such risk factors during the three months ended March 31, 2026. Other events that we do not currently anticipate or that we currently deem immaterial may also affect our business, prospects, financial condition and results of operations.</w:t>
      </w:r>
    </w:p>
    <w:p>
      <w:pPr>
        <w:spacing w:after="0" w:line="26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9"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March 31, 2026, no director or officer (as defined in Rule 16a-1(f)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of the Company adopted or terminated a “Rule 10b5-1 trading arrangement” or “non-rule 10b5-1 trading arrangement,” as each term is defined in item 408(a) of Regulation S-K.</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40" w:type="dxa"/>
            <w:vAlign w:val="bottom"/>
            <w:gridSpan w:val="11"/>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4980" w:type="dxa"/>
            <w:vAlign w:val="bottom"/>
            <w:tcBorders>
              <w:bottom w:val="single" w:sz="8" w:color="0000EE"/>
            </w:tcBorders>
            <w:gridSpan w:val="10"/>
          </w:tcPr>
          <w:p>
            <w:pPr>
              <w:spacing w:after="0"/>
              <w:rPr>
                <w:rFonts w:ascii="Times New Roman" w:cs="Times New Roman" w:eastAsia="Times New Roman" w:hAnsi="Times New Roman"/>
                <w:sz w:val="18"/>
                <w:szCs w:val="18"/>
                <w:color w:val="auto"/>
                <w:w w:val="99"/>
              </w:rPr>
            </w:pPr>
            <w:hyperlink r:id="rId260">
              <w:r>
                <w:rPr>
                  <w:rFonts w:ascii="Times New Roman" w:cs="Times New Roman" w:eastAsia="Times New Roman" w:hAnsi="Times New Roman"/>
                  <w:sz w:val="18"/>
                  <w:szCs w:val="18"/>
                  <w:color w:val="auto"/>
                  <w:w w:val="99"/>
                </w:rPr>
                <w:t>Restated Certificate of Incorporation of Enanta Pharmaceuticals, Inc.</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4880" w:type="dxa"/>
            <w:vAlign w:val="bottom"/>
            <w:tcBorders>
              <w:bottom w:val="single" w:sz="8" w:color="0000EE"/>
            </w:tcBorders>
            <w:gridSpan w:val="8"/>
          </w:tcPr>
          <w:p>
            <w:pPr>
              <w:spacing w:after="0"/>
              <w:rPr>
                <w:rFonts w:ascii="Times New Roman" w:cs="Times New Roman" w:eastAsia="Times New Roman" w:hAnsi="Times New Roman"/>
                <w:sz w:val="18"/>
                <w:szCs w:val="18"/>
                <w:color w:val="auto"/>
              </w:rPr>
            </w:pPr>
            <w:hyperlink r:id="rId261">
              <w:r>
                <w:rPr>
                  <w:rFonts w:ascii="Times New Roman" w:cs="Times New Roman" w:eastAsia="Times New Roman" w:hAnsi="Times New Roman"/>
                  <w:sz w:val="18"/>
                  <w:szCs w:val="18"/>
                  <w:color w:val="auto"/>
                </w:rPr>
                <w:t>Amended and Restated Bylaws of Enanta Pharmaceuticals, Inc. (as</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9"/>
              </w:rPr>
            </w:pPr>
            <w:hyperlink r:id="rId261">
              <w:r>
                <w:rPr>
                  <w:rFonts w:ascii="Times New Roman" w:cs="Times New Roman" w:eastAsia="Times New Roman" w:hAnsi="Times New Roman"/>
                  <w:sz w:val="18"/>
                  <w:szCs w:val="18"/>
                  <w:color w:val="auto"/>
                  <w:w w:val="99"/>
                </w:rPr>
                <w:t>amended and restated in August 2015)</w:t>
              </w:r>
            </w:hyperlink>
          </w:p>
        </w:tc>
        <w:tc>
          <w:tcPr>
            <w:tcW w:w="2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3900" w:type="dxa"/>
            <w:vAlign w:val="bottom"/>
            <w:tcBorders>
              <w:bottom w:val="single" w:sz="8" w:color="0000EE"/>
            </w:tcBorders>
            <w:gridSpan w:val="5"/>
          </w:tcPr>
          <w:p>
            <w:pPr>
              <w:spacing w:after="0"/>
              <w:rPr>
                <w:rFonts w:ascii="Times New Roman" w:cs="Times New Roman" w:eastAsia="Times New Roman" w:hAnsi="Times New Roman"/>
                <w:sz w:val="18"/>
                <w:szCs w:val="18"/>
                <w:color w:val="auto"/>
                <w:w w:val="99"/>
              </w:rPr>
            </w:pPr>
            <w:hyperlink r:id="rId262">
              <w:r>
                <w:rPr>
                  <w:rFonts w:ascii="Times New Roman" w:cs="Times New Roman" w:eastAsia="Times New Roman" w:hAnsi="Times New Roman"/>
                  <w:sz w:val="18"/>
                  <w:szCs w:val="18"/>
                  <w:color w:val="auto"/>
                  <w:w w:val="99"/>
                </w:rPr>
                <w:t>2019 Equity Incentive Plan (as amended March 2026)</w:t>
              </w:r>
            </w:hyperlink>
          </w:p>
        </w:tc>
        <w:tc>
          <w:tcPr>
            <w:tcW w:w="1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w w:val="99"/>
              </w:rPr>
              <w:t>Certification of the Principal Executive Officer pursuant to Rule 13a-</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14(a) or 15d-14(a) of the Securities Exchange Act of 1934.</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Rule 13a-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rPr>
              <w:t>14(a) or 15d-14(a) of the Securities Exchange Act of 1934.</w:t>
            </w: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Certification of the Principal Executive Officer and Principal Financial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Officer pursuant to 18 U.S.C. Section 1350, as adopted pursuant to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906 of the Sarbanes-Oxley Act of 2002.</w:t>
            </w:r>
          </w:p>
        </w:tc>
        <w:tc>
          <w:tcPr>
            <w:tcW w:w="17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414"/>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right="20" w:hanging="1011"/>
        <w:spacing w:after="0" w:line="312"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Cover Page Interactive Data File (formatted as Inline XBRL with applicable Taxonomy Extension information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0"/>
                <w:szCs w:val="10"/>
                <w:color w:val="auto"/>
              </w:rPr>
            </w:pPr>
          </w:p>
        </w:tc>
        <w:tc>
          <w:tcPr>
            <w:tcW w:w="900" w:type="dxa"/>
            <w:vAlign w:val="bottom"/>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3"/>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03/28/2013</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08/18/2015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03/12/2026</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35839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86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240" w:space="120"/>
            <w:col w:w="4820"/>
          </w:cols>
          <w:pgMar w:left="320" w:top="981"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4445</wp:posOffset>
            </wp:positionV>
            <wp:extent cx="28460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Jay R. Luly,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Harry R. Trout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4445</wp:posOffset>
            </wp:positionV>
            <wp:extent cx="28460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Harry R. Trout III</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Vice President, Finance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R. Luly, Ph.D., certify that:</w:t>
      </w:r>
    </w:p>
    <w:p>
      <w:pPr>
        <w:spacing w:after="0" w:line="117" w:lineRule="exact"/>
        <w:rPr>
          <w:sz w:val="20"/>
          <w:szCs w:val="20"/>
          <w:color w:val="auto"/>
        </w:rPr>
      </w:pPr>
    </w:p>
    <w:p>
      <w:pPr>
        <w:ind w:left="360" w:hanging="352"/>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Jay R. Luly,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Harry R. Trout III, certify that:</w:t>
      </w:r>
    </w:p>
    <w:p>
      <w:pPr>
        <w:spacing w:after="0" w:line="117"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Enanta Pharmaceuticals,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00" w:hanging="512"/>
        <w:spacing w:after="0" w:line="282" w:lineRule="auto"/>
        <w:tabs>
          <w:tab w:leader="none" w:pos="3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Harry R. Trout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Harry R. Trout III</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Vice President, Finance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Financial Office</w:t>
      </w:r>
      <w:r>
        <w:rPr>
          <w:rFonts w:ascii="Times New Roman" w:cs="Times New Roman" w:eastAsia="Times New Roman" w:hAnsi="Times New Roman"/>
          <w:sz w:val="18"/>
          <w:szCs w:val="18"/>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March 31, 2026 (the "Form 10-Q")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30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R. Luly, Ph.D.</w:t>
            </w:r>
          </w:p>
        </w:tc>
      </w:tr>
      <w:tr>
        <w:trPr>
          <w:trHeight w:val="189"/>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Jay R. Luly, Ph.D.</w:t>
            </w:r>
          </w:p>
        </w:tc>
      </w:tr>
      <w:tr>
        <w:trPr>
          <w:trHeight w:val="216"/>
        </w:trPr>
        <w:tc>
          <w:tcPr>
            <w:tcW w:w="4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236"/>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5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Dated: May 13, 2026</w:t>
            </w:r>
          </w:p>
        </w:tc>
        <w:tc>
          <w:tcPr>
            <w:tcW w:w="30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Harry R. Trout III</w:t>
            </w:r>
          </w:p>
        </w:tc>
      </w:tr>
      <w:tr>
        <w:trPr>
          <w:trHeight w:val="189"/>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Harry R. Trout III</w:t>
            </w:r>
          </w:p>
        </w:tc>
      </w:tr>
      <w:tr>
        <w:trPr>
          <w:trHeight w:val="216"/>
        </w:trPr>
        <w:tc>
          <w:tcPr>
            <w:tcW w:w="41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Vice President, Finance</w:t>
            </w:r>
          </w:p>
        </w:tc>
      </w:tr>
      <w:tr>
        <w:trPr>
          <w:trHeight w:val="236"/>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979"/>
        </w:trPr>
        <w:tc>
          <w:tcPr>
            <w:tcW w:w="41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o"/>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o"/>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04"/>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60" Type="http://schemas.openxmlformats.org/officeDocument/2006/relationships/hyperlink" Target="https://www.sec.gov/Archives/edgar/data/1177648/000119312513132679/d511662dex31.htm" TargetMode="External"/><Relationship Id="rId261" Type="http://schemas.openxmlformats.org/officeDocument/2006/relationships/hyperlink" Target="https://www.sec.gov/Archives/edgar/data/1177648/000119312515294582/d95810dex32.htm" TargetMode="External"/><Relationship Id="rId262" Type="http://schemas.openxmlformats.org/officeDocument/2006/relationships/hyperlink" Target="https://www.sec.gov/Archives/edgar/data/1177648/000119312526104109/ent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2026-05-13T06:05:25Z</dcterms:created>
  <dcterms:modified xsi:type="dcterms:W3CDTF">2026-05-13T06:05:25Z</dcterms:modified>
</cp:coreProperties>
</file>