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right="18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571" w:right="279" w:bottom="1440" w:gutter="0" w:footer="0" w:header="0"/>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57" w:lineRule="exact"/>
        <w:tabs>
          <w:tab w:leader="none" w:pos="5520" w:val="left"/>
          <w:tab w:leader="none" w:pos="7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233" w:lineRule="exact"/>
        <w:tabs>
          <w:tab w:leader="none" w:pos="5520" w:val="left"/>
          <w:tab w:leader="none" w:pos="7980" w:val="left"/>
        </w:tabs>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(Do not check if a small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2">
            <w:col w:w="2220" w:space="720"/>
            <w:col w:w="8440"/>
          </w:cols>
          <w:pgMar w:left="240" w:top="571" w:right="279" w:bottom="1440" w:gutter="0" w:footer="0" w:header="0"/>
          <w:type w:val="continuous"/>
        </w:sectPr>
      </w:pPr>
    </w:p>
    <w:p>
      <w:pPr>
        <w:spacing w:after="0" w:line="9" w:lineRule="exact"/>
        <w:rPr>
          <w:sz w:val="24"/>
          <w:szCs w:val="24"/>
          <w:color w:val="auto"/>
        </w:rPr>
      </w:pPr>
    </w:p>
    <w:p>
      <w:pPr>
        <w:ind w:left="20"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520" w:right="134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May 1, 2017, the registrant had 19,083,511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Financial Statements</w:t>
              </w:r>
            </w:hyperlink>
          </w:p>
        </w:tc>
        <w:tc>
          <w:tcPr>
            <w:tcW w:w="760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Balance Sheets</w:t>
              </w:r>
            </w:hyperlink>
          </w:p>
        </w:tc>
        <w:tc>
          <w:tcPr>
            <w:tcW w:w="72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Cash Flows</w:t>
              </w:r>
            </w:hyperlink>
          </w:p>
        </w:tc>
        <w:tc>
          <w:tcPr>
            <w:tcW w:w="644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Notes to Consolidated Financial Statements</w:t>
              </w:r>
            </w:hyperlink>
          </w:p>
        </w:tc>
        <w:tc>
          <w:tcPr>
            <w:tcW w:w="616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0" w:type="dxa"/>
            <w:vAlign w:val="bottom"/>
          </w:tcPr>
          <w:p>
            <w:pPr>
              <w:spacing w:after="0"/>
              <w:rPr>
                <w:sz w:val="17"/>
                <w:szCs w:val="17"/>
                <w:color w:val="auto"/>
              </w:rPr>
            </w:pPr>
          </w:p>
        </w:tc>
        <w:tc>
          <w:tcPr>
            <w:tcW w:w="6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0" w:type="dxa"/>
            <w:vAlign w:val="bottom"/>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6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Exhibit Index</w:t>
              </w:r>
            </w:hyperlink>
          </w:p>
        </w:tc>
        <w:tc>
          <w:tcPr>
            <w:tcW w:w="1006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3"/>
          </w:tcPr>
          <w:p>
            <w:pPr>
              <w:jc w:val="right"/>
              <w:ind w:right="24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7000" w:type="dxa"/>
            <w:vAlign w:val="bottom"/>
            <w:gridSpan w:val="3"/>
          </w:tcPr>
          <w:p>
            <w:pPr>
              <w:jc w:val="center"/>
              <w:ind w:left="2070"/>
              <w:spacing w:after="0"/>
              <w:rPr>
                <w:sz w:val="20"/>
                <w:szCs w:val="20"/>
                <w:color w:val="auto"/>
              </w:rPr>
            </w:pPr>
            <w:r>
              <w:rPr>
                <w:rFonts w:ascii="Arial" w:cs="Arial" w:eastAsia="Arial" w:hAnsi="Arial"/>
                <w:sz w:val="18"/>
                <w:szCs w:val="18"/>
                <w:b w:val="1"/>
                <w:bCs w:val="1"/>
                <w:color w:val="auto"/>
              </w:rPr>
              <w:t>ENANTA PHARMACEUTICALS, INC.</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7000" w:type="dxa"/>
            <w:vAlign w:val="bottom"/>
            <w:gridSpan w:val="3"/>
          </w:tcPr>
          <w:p>
            <w:pPr>
              <w:jc w:val="center"/>
              <w:ind w:left="2070"/>
              <w:spacing w:after="0"/>
              <w:rPr>
                <w:sz w:val="20"/>
                <w:szCs w:val="20"/>
                <w:color w:val="auto"/>
              </w:rPr>
            </w:pPr>
            <w:r>
              <w:rPr>
                <w:rFonts w:ascii="Arial" w:cs="Arial" w:eastAsia="Arial" w:hAnsi="Arial"/>
                <w:sz w:val="18"/>
                <w:szCs w:val="18"/>
                <w:b w:val="1"/>
                <w:bCs w:val="1"/>
                <w:color w:val="auto"/>
                <w:w w:val="99"/>
              </w:rPr>
              <w:t>CONSOLIDATED BALANCE SHEETS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00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91"/>
              </w:rPr>
              <w:t>(unaudited)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700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418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8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156,362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193,507</w:t>
            </w: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418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53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5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278,958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tcPr>
          <w:p>
            <w:pPr>
              <w:spacing w:after="0"/>
              <w:rPr>
                <w:sz w:val="22"/>
                <w:szCs w:val="22"/>
                <w:color w:val="auto"/>
              </w:rPr>
            </w:pPr>
          </w:p>
        </w:tc>
      </w:tr>
      <w:tr>
        <w:trPr>
          <w:trHeight w:val="21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320" w:type="dxa"/>
            <w:vAlign w:val="bottom"/>
            <w:gridSpan w:val="2"/>
          </w:tcPr>
          <w:p>
            <w:pPr>
              <w:ind w:left="260"/>
              <w:spacing w:after="0"/>
              <w:rPr>
                <w:sz w:val="20"/>
                <w:szCs w:val="20"/>
                <w:color w:val="auto"/>
              </w:rPr>
            </w:pPr>
            <w:r>
              <w:rPr>
                <w:rFonts w:ascii="Arial" w:cs="Arial" w:eastAsia="Arial" w:hAnsi="Arial"/>
                <w:sz w:val="18"/>
                <w:szCs w:val="18"/>
                <w:color w:val="auto"/>
                <w:w w:val="89"/>
              </w:rPr>
              <w:t>Common stock; $0.01 par value per share, 100,000 shares authorized;</w:t>
            </w:r>
          </w:p>
        </w:tc>
        <w:tc>
          <w:tcPr>
            <w:tcW w:w="2820" w:type="dxa"/>
            <w:vAlign w:val="bottom"/>
            <w:gridSpan w:val="2"/>
          </w:tcPr>
          <w:p>
            <w:pPr>
              <w:jc w:val="right"/>
              <w:ind w:right="1870"/>
              <w:spacing w:after="0"/>
              <w:rPr>
                <w:sz w:val="20"/>
                <w:szCs w:val="20"/>
                <w:color w:val="auto"/>
              </w:rPr>
            </w:pPr>
            <w:r>
              <w:rPr>
                <w:rFonts w:ascii="Arial" w:cs="Arial" w:eastAsia="Arial" w:hAnsi="Arial"/>
                <w:sz w:val="18"/>
                <w:szCs w:val="18"/>
                <w:color w:val="auto"/>
                <w:w w:val="93"/>
              </w:rPr>
              <w:t>19,054 and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19,036 shares issued and outstanding at March 31, 2017 and</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September 30, 2016, respectively</w:t>
            </w: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242,081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27,646</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269,936</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278,958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8,959</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13,004</w:t>
            </w:r>
          </w:p>
        </w:tc>
        <w:tc>
          <w:tcPr>
            <w:tcW w:w="18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19,376</w:t>
            </w:r>
          </w:p>
        </w:tc>
        <w:tc>
          <w:tcPr>
            <w:tcW w:w="180" w:type="dxa"/>
            <w:vAlign w:val="bottom"/>
          </w:tcPr>
          <w:p>
            <w:pPr>
              <w:spacing w:after="0"/>
              <w:rPr>
                <w:sz w:val="19"/>
                <w:szCs w:val="19"/>
                <w:color w:val="auto"/>
              </w:rPr>
            </w:pP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18,465</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(0.54)</w:t>
            </w:r>
          </w:p>
        </w:tc>
        <w:tc>
          <w:tcPr>
            <w:tcW w:w="5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19,047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Net unrealized gains (losses) on marketable securities, net of tax of ($13),</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 ($76), $135</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0"/>
                <w:szCs w:val="20"/>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(10,372)</w:t>
            </w: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24,544</w:t>
            </w:r>
          </w:p>
        </w:tc>
        <w:tc>
          <w:tcPr>
            <w:tcW w:w="120" w:type="dxa"/>
            <w:vAlign w:val="bottom"/>
          </w:tcPr>
          <w:p>
            <w:pPr>
              <w:spacing w:after="0"/>
              <w:rPr>
                <w:sz w:val="19"/>
                <w:szCs w:val="19"/>
                <w:color w:val="auto"/>
              </w:rPr>
            </w:pPr>
          </w:p>
        </w:tc>
      </w:tr>
      <w:tr>
        <w:trPr>
          <w:trHeight w:val="215"/>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benefit from exercise of stock options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Premium on marketable securities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19"/>
                <w:szCs w:val="19"/>
                <w:color w:val="auto"/>
              </w:rPr>
            </w:pPr>
          </w:p>
        </w:tc>
      </w:tr>
      <w:tr>
        <w:trPr>
          <w:trHeight w:val="215"/>
        </w:trPr>
        <w:tc>
          <w:tcPr>
            <w:tcW w:w="682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20" w:type="dxa"/>
            <w:vAlign w:val="bottom"/>
          </w:tcPr>
          <w:p>
            <w:pPr>
              <w:ind w:left="640"/>
              <w:spacing w:after="0"/>
              <w:rPr>
                <w:sz w:val="20"/>
                <w:szCs w:val="20"/>
                <w:color w:val="auto"/>
              </w:rPr>
            </w:pPr>
            <w:r>
              <w:rPr>
                <w:rFonts w:ascii="Arial" w:cs="Arial" w:eastAsia="Arial" w:hAnsi="Arial"/>
                <w:sz w:val="18"/>
                <w:szCs w:val="18"/>
                <w:color w:val="auto"/>
              </w:rPr>
              <w:t>preferred stock</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Unbilled receivables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 payable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10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40,047</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(3,710)</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(151,273)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(84,561)</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marketable securities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marketable securities</w:t>
            </w:r>
          </w:p>
        </w:tc>
        <w:tc>
          <w:tcPr>
            <w:tcW w:w="10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82,182</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(6,089)</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Payments of capital lease obligations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withholding tax for share-based awards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Income tax benefit from exercise of stock options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34,634</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21,726</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56,360</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0"/>
                <w:szCs w:val="20"/>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success to date has been built on protease inhibitors discovered for the treatment of hepatitis C virus, or (“HCV”), which are licensed to AbbVie Inc. (“AbbVie”) and included in its HCV treatment regimens. The Company’s new research and development programs are currently focused primarily on the following disease areas: hepatitis B virus (“HBV”); non-alcoholic steatohepatitis (“NASH”); primary biliary cholangitis (“PBC”); and respiratory syncytial virus (“RSV”).</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consolidated balance sheet at September 30, 2016 was derived from audited financial statements, but does not include all disclosures required by accounting principles generally accepted in the United States of America (“GAAP”). The accompanying unaudited consolidated financial statements as of March 31, 2017 and for the six months ended March 31, 2017 and 2016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2016.</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March 31, 2017 and results of operations for the three and six months ended March 31, 2017 and 2016 and cash flows for the six months ended March 31, 2017 and 2016, have been made. The results of operations for the six months ended March 31, 2017 are not necessarily indicative of the results of operations that may be expected for subsequent quarters or the year ending September 30, 2017.</w:t>
      </w:r>
    </w:p>
    <w:p>
      <w:pPr>
        <w:spacing w:after="0" w:line="171" w:lineRule="exact"/>
        <w:rPr>
          <w:sz w:val="20"/>
          <w:szCs w:val="20"/>
          <w:color w:val="auto"/>
        </w:rPr>
      </w:pPr>
    </w:p>
    <w:p>
      <w:pPr>
        <w:jc w:val="both"/>
        <w:ind w:right="70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2016. There were no significant changes to the Company’s Significant Accounting Policies during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August 2014, the Financial Accounting Standards Board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(“ASU 2014-15”), which requires management to assess a company’s ability to continue as a going concern and to provide related footnote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in certain circumstances. This amendment will be effective for the Company for fiscal year ended September 30, 2017. The Company does not expect the adoption of ASU 2014-15 to have an impact on the Company’s consolidated financial statements.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will be effective for the Company in the fiscal year beginning October 1, 2017. The Company is currently evaluating the potential impact that ASU 2016-09 may have on its financial position and results of operations.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October 1, 2018. The Company is currently evaluating the potential impact that Topic 606 may have on its financial position and results of operations.</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The Company is currently evaluating the potential impact that ASU 2016-18 may have on its financial position and statement of cash flows.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27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March 31, 2017 and September 30, 2016 and indicate the fair value hierarchy of the valuation inputs utilized to determine such fair value:</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9"/>
          </w:tcPr>
          <w:p>
            <w:pPr>
              <w:jc w:val="right"/>
              <w:ind w:right="65"/>
              <w:spacing w:after="0"/>
              <w:rPr>
                <w:sz w:val="20"/>
                <w:szCs w:val="20"/>
                <w:color w:val="auto"/>
              </w:rPr>
            </w:pPr>
            <w:r>
              <w:rPr>
                <w:rFonts w:ascii="Arial" w:cs="Arial" w:eastAsia="Arial" w:hAnsi="Arial"/>
                <w:sz w:val="14"/>
                <w:szCs w:val="14"/>
                <w:b w:val="1"/>
                <w:bCs w:val="1"/>
                <w:color w:val="auto"/>
              </w:rPr>
              <w:t>Fair Value Measurements at March 31, 2017 Using: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82,433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95,310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September 30, 2016 Using: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69,608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84,903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March 31, 2017 and September 30, 2016 consist primarily of money market funds.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2017 and 2016, there were no transfers between Level 1, Level 2 and Level 3.</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March 31, 2017 and September 30, 2016, the Company’s warrant liability was comprised of the value of warrants for the purchase of its Series 1 nonconvertible preferred stock. These warrants are financial instruments that may require a transfer of assets because of the liquidation features and are therefore recorded as liabilities and measured at fair value. The outstanding Series 1 nonconvertible preferred stock was also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other income (expense), net in the consolidated statements of operations.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Unobservable Input</w:t>
            </w:r>
          </w:p>
        </w:tc>
        <w:tc>
          <w:tcPr>
            <w:tcW w:w="160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March 31,</w:t>
            </w:r>
          </w:p>
        </w:tc>
        <w:tc>
          <w:tcPr>
            <w:tcW w:w="11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continue"/>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30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0%-60%</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0%-60%</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nonconvertible preferred</w:t>
            </w:r>
          </w:p>
        </w:tc>
        <w:tc>
          <w:tcPr>
            <w:tcW w:w="3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stock</w:t>
            </w:r>
          </w:p>
        </w:tc>
        <w:tc>
          <w:tcPr>
            <w:tcW w:w="3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20" w:type="dxa"/>
            <w:vAlign w:val="bottom"/>
            <w:gridSpan w:val="3"/>
          </w:tcPr>
          <w:p>
            <w:pPr>
              <w:ind w:left="300"/>
              <w:spacing w:after="0"/>
              <w:rPr>
                <w:sz w:val="20"/>
                <w:szCs w:val="20"/>
                <w:color w:val="auto"/>
              </w:rPr>
            </w:pPr>
            <w:r>
              <w:rPr>
                <w:rFonts w:ascii="Arial" w:cs="Arial" w:eastAsia="Arial" w:hAnsi="Arial"/>
                <w:sz w:val="18"/>
                <w:szCs w:val="18"/>
                <w:color w:val="auto"/>
                <w:w w:val="95"/>
              </w:rPr>
              <w:t>Periods in which payout is expected to occur</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37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Discount rate</w:t>
            </w:r>
          </w:p>
        </w:tc>
        <w:tc>
          <w:tcPr>
            <w:tcW w:w="136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Warrant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2016</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fair value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March 31, 2017</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September 30, 2016,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112,572</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9,014</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76,077</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69,579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30,040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2017, marketable securities consisted of investments that mature within one year, with the exception of certain U.S. Treasury notes and corporate bonds, which have maturities within three years and an aggregate fair value of $65,330.</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0" w:name="page11"/>
    <w:bookmarkEnd w:id="10"/>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March 31, 2017 and September 30, 2016:</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fixed assets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160" w:firstLine="8"/>
        <w:spacing w:after="0" w:line="378"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commercialize HCV NS3 and NS3/4A protease inhibitor compounds, including paritaprevir and glecaprevir (ABT-493), under which 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received license payments, proceeds from a sale of preferred stock, research funding payments, milestone payments and royalties totaling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$418,000 through March 31, 2017. As of March 31, 2017, the Company is eligible to receive additional milestone payments of up to a total of $80,000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AbbVie’s achievement of commercialization regulatory approval milestones in the U.S. and other major world markets for its glecaprevir/pibrentasvir (“G/P”)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regimen for HCV, which is currently under regulatory review in those jurisdictions. Since the Company completed all its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the AbbVie Agreement by the end of fiscal 2011, any milestone payments received since then have been and will be recognized as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the milestones are achieved by AbbVie. The Company is also receiving annually tiered royalties per Company protease product ranging from the 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double digits up to twenty percent, or on a blended basis from the low double digits up to the high teens, on AbbVie’s calendar year net sales of its HCV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regimens that are allocated to the collaboration’s protease inhibitor in the regimen. Beginning with each January 1, the cumulative net sales of a given royalty-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bearing product start at zero for purposes of calculating the tiered royalties on a product by product basis.</w:t>
      </w:r>
    </w:p>
    <w:p>
      <w:pPr>
        <w:spacing w:after="0" w:line="21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During the six months ended March 31, 2016, the Company earned and recognized milestone revenue of $30,000 upon AbbVie’s achievement of commercialization regulatory approval of a paritaprevir-containing regimen in Japan in November 2015.</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October and November 2010, the Company issued warrants to purchase up to a total of 1,999,989 shares of Series 1 nonconvertible preferred stock, which expire on October 4, 2017. As these warrants and underlying Series 1 preferred stock are financial instruments that may require the Company to transfer assets, these instruments are classified as liabilities. The Company is required to remeasure the fair value of these instruments at each reporting date, with any adjustments recorded within other income (expense), net, in the consolidated statements of operations.</w:t>
      </w:r>
    </w:p>
    <w:p>
      <w:pPr>
        <w:spacing w:after="0" w:line="27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granted stock-based awards, including stock options and restricted stock units, under its existing 2012 Equity Incentive Plan (the</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“2012 Plan”) and Employee Stock Purchase Plan (the “ESPP”). The Company also has outstanding stock-based awards under its 1995 Equity Incentive Plan (the “1995 Plan”), but is no longer granting awards under this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 to date period ending March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1,895,456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541,619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(105,596)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2,325,622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March 31,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2,307,633</w:t>
            </w:r>
          </w:p>
        </w:tc>
        <w:tc>
          <w:tcPr>
            <w:tcW w:w="14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29.54</w:t>
            </w:r>
          </w:p>
        </w:tc>
        <w:tc>
          <w:tcPr>
            <w:tcW w:w="20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March 31,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1,160,475</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for the year to date period ending March 31, 2017:</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Relative 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Return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(18,820)</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(4,705)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(23,525)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2016, the Company awarded restricted stock units to its employees, which vest 50% in three years and 50% in four years, provided the employee remains employed with the Company at the time of vesting. The fair value of these awards is determined based on the intrinsic value of the stock on the date of grant and will be recognized as stock-based compensation expense, net of estimated forfeitures, over the requisite service period. The following table summarizes the restricted stock unit activity for the year to date period ending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Restricted Stock</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2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112,460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2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3580" w:type="dxa"/>
            <w:vAlign w:val="bottom"/>
            <w:gridSpan w:val="3"/>
          </w:tcPr>
          <w:p>
            <w:pPr>
              <w:jc w:val="right"/>
              <w:ind w:right="140"/>
              <w:spacing w:after="0"/>
              <w:rPr>
                <w:sz w:val="20"/>
                <w:szCs w:val="20"/>
                <w:color w:val="auto"/>
              </w:rPr>
            </w:pPr>
            <w:r>
              <w:rPr>
                <w:rFonts w:ascii="Arial" w:cs="Arial" w:eastAsia="Arial" w:hAnsi="Arial"/>
                <w:sz w:val="18"/>
                <w:szCs w:val="18"/>
                <w:color w:val="auto"/>
              </w:rPr>
              <w:t>(1,918)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2017</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0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2017 and 2016, the Company recognized the following stock-based compensation expense: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six months ended March 31, 2017, the Company recognized stock-based compensation expense for PSUs and performance-based options upon achievement of performance- based targets that occurred during the year to date period.</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2017, the Company had an aggregate of $29,718 unrecognized stock-based compensation cost, which is expected to be recognized over a weighted average period of 2.5 years.</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six months ended March 31, 2017 and 2016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(5,392)</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(10,372)</w:t>
            </w:r>
          </w:p>
        </w:tc>
        <w:tc>
          <w:tcPr>
            <w:tcW w:w="5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(5,392)</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(10,372)</w:t>
            </w:r>
          </w:p>
        </w:tc>
        <w:tc>
          <w:tcPr>
            <w:tcW w:w="5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Anti-dilutive common stock equivalents excluded from</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above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was in a net loss position since the impact of such common stock equivalents would have been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both"/>
        <w:ind w:right="100"/>
        <w:spacing w:after="0" w:line="264" w:lineRule="auto"/>
        <w:rPr>
          <w:sz w:val="20"/>
          <w:szCs w:val="20"/>
          <w:color w:val="auto"/>
        </w:rPr>
      </w:pPr>
      <w:r>
        <w:rPr>
          <w:rFonts w:ascii="Arial" w:cs="Arial" w:eastAsia="Arial" w:hAnsi="Arial"/>
          <w:sz w:val="18"/>
          <w:szCs w:val="18"/>
          <w:color w:val="auto"/>
        </w:rPr>
        <w:t>As of March 31, 2017, the Company also excluded 139,000 of unvested stock awards from the calculation of diluted net income (loss) per common share as these awards contain performance or market conditions that would not have been achieved as of March 31, 2017 had the measurement period been as of that date.</w:t>
      </w:r>
    </w:p>
    <w:p>
      <w:pPr>
        <w:spacing w:after="0" w:line="28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three months ended March 31, 2017 and 2016, the Company recorded an income tax (expense) benefit of $3,565 and ($1,552), respectively. The income tax (expense) benefit for the three months ended March 31, 2017 and 2016 was primarily attributable to the Company’s domestic operations. During the three months ended March 31, 2017, the Company increased its estimate of its annual effective tax rate for fiscal 2017, resulting in an income tax benefit due to the Company’s pre-tax loss for the quarter. During the three months ended March 31, 2016, the Company increased its estimate of its annual effective tax rate for fiscal 2016, which resulted in an income tax provision despite a pre-tax loss for the quarter.</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the six months ended March 31, 2017 and 2016, the Company recorded an income tax (expense) benefit of $5,107 and $(11,286) respectively, representing an effective tax rate of 33.0% and 31.5%, respectively. For the six months ended March 31, 2017, the Company’s effective tax rate differs from the statutory rate of 35.0% primarily due to federal research and development tax credits which reduced the Company’s annual effective tax rate slightly below the statutory rate. For the six months ended March 31, 2016, the Company’s effective tax rate differs from the statutory rate of 35.0% primarily due to reinstatement of the federal research and development tax credits which are included in the Company’s annual effective tax rate.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Earlier years may be examined to the extent that tax credits or net operating loss carryforwards are used in future periods.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had an unrecognized tax benefit of $1,066 and $745 as of March 31, 2017 and September 30, 2016,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$1,013 for both the six months ended March 31, 2017 and 2016.</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March 31, 2017 and September 30, 2016, the Company classified the $608 related to the letter of credit as restricted cash. Additionally, the lease, as amended, included a $598 tenant improvement allowance from the landlord, which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for each year that the agreement remains in effect, commencing on the first anniversary of the agreement, in order to maintain the right to use the license, and (2) a one-time fee of in each circumstance in which the Company provides the licensed intellectual property to one of its collaborators with the prior consent of the licensor.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operations or cash flows. The Company accrues contingent liabilities when it is probable that future expenditures will be made and such expenditures can be reasonably estimated.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2017.</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2016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research and development-focused biotechnology company that uses our robust, chemistry-driven approach and drug discovery capabilities to create small molecule drugs primarily for the treatment of viral infections and liver diseases. Our success to date has been built on protease inhibitors we discovered for the treatment of hepatitis C virus, or HCV, which are licensed to AbbVie and included in its HCV treatment regimens. Our new research and development programs are currently focused primarily on the following disease areas:</w:t>
      </w:r>
    </w:p>
    <w:p>
      <w:pPr>
        <w:spacing w:after="0" w:line="7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1 year of age in the U.S., resulting in an estimated 75,000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240 million individuals worldwide.</w:t>
      </w:r>
    </w:p>
    <w:p>
      <w:pPr>
        <w:spacing w:after="0" w:line="248"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Our development and licensing collaboration with AbbVie has produced one licensed product and a second product candidate for HCV is currently under regulatory review in the U.S., E.U. and Japan. The licensed product, paritaprevir, a protease inhibitor designed for use against HCV, is a key compound in AbbVie’s direct-acting-antiviral, or DAA, regimen VIEKIRA PAK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its other 3-DAA and 2-DAA treatment regimens currently on the market for HCV. Our second HCV protease inhibitor, glecaprevir (ABT-493), has completed several Phase 3 registrational studies with pibrentasvir, AbbVie’s second NS5A inhibitor, in a combination known as G/P. In December 2016, AbbVie submitted a New Drug Application (NDA) to the U.S. Food and Drug Administration (FDA), for the investigational HCV regimen, G/P, for the treatment of patients with any of the major genotypes (GT1-6) of chronic HCV, which is now under priority review with the FDA. In the E.U., the Marketing Authorization Application (MAA) for G/P was validated by the European Medicines Agency and was designated for accelerated assessment. In February 2017, AbbVie submitted an NDA for the G/P regimen in Japan which was granted priority review by the Japanese Ministry of Health, Labour and Welfare (MHLW) in March 2017. AbbVie anticipates regulatory approvals and commercialization of G/P beginning in calendar 2017.</w:t>
      </w:r>
    </w:p>
    <w:p>
      <w:pPr>
        <w:spacing w:after="0" w:line="1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had $240.9 million in cash and marketable securities at March 31, 2017. In our second fiscal quarter of 2017, we earned $9.0 million in royalties on the portion of AbbVie’s net sales of its HCV regimens allocated to paritaprevir. We expect our existing financial resources and cash flows will allow us to continue to invest for the foreseeable future in our wholly owned research and development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31" w:lineRule="exact"/>
        <w:rPr>
          <w:sz w:val="20"/>
          <w:szCs w:val="20"/>
          <w:color w:val="auto"/>
        </w:rPr>
      </w:pPr>
    </w:p>
    <w:p>
      <w:pPr>
        <w:ind w:left="1040" w:right="140" w:hanging="519"/>
        <w:spacing w:after="0" w:line="24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NASH and PBC:</w:t>
      </w:r>
      <w:r>
        <w:rPr>
          <w:rFonts w:ascii="Arial" w:cs="Arial" w:eastAsia="Arial" w:hAnsi="Arial"/>
          <w:sz w:val="1"/>
          <w:szCs w:val="1"/>
          <w:color w:val="auto"/>
        </w:rPr>
        <w:drawing>
          <wp:inline distT="0" distB="0" distL="0" distR="0">
            <wp:extent cx="34290" cy="13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133350"/>
                    </a:xfrm>
                    <a:prstGeom prst="rect">
                      <a:avLst/>
                    </a:prstGeom>
                    <a:noFill/>
                    <a:ln>
                      <a:noFill/>
                    </a:ln>
                  </pic:spPr>
                </pic:pic>
              </a:graphicData>
            </a:graphic>
          </wp:inline>
        </w:drawing>
      </w:r>
      <w:r>
        <w:rPr>
          <w:rFonts w:ascii="Arial" w:cs="Arial" w:eastAsia="Arial" w:hAnsi="Arial"/>
          <w:sz w:val="18"/>
          <w:szCs w:val="18"/>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ind w:left="1040" w:right="60"/>
        <w:spacing w:after="0" w:line="277" w:lineRule="auto"/>
        <w:rPr>
          <w:sz w:val="20"/>
          <w:szCs w:val="20"/>
          <w:color w:val="auto"/>
        </w:rPr>
      </w:pPr>
      <w:r>
        <w:rPr>
          <w:rFonts w:ascii="Arial" w:cs="Arial" w:eastAsia="Arial" w:hAnsi="Arial"/>
          <w:sz w:val="18"/>
          <w:szCs w:val="18"/>
          <w:color w:val="auto"/>
        </w:rPr>
        <w:t>FXR agonist designed to take advantage of increased binding interactions with the receptor. We believe this class is significantly different from other FXR agonists in clinical development.</w:t>
      </w:r>
    </w:p>
    <w:p>
      <w:pPr>
        <w:spacing w:after="0" w:line="62" w:lineRule="exact"/>
        <w:rPr>
          <w:sz w:val="20"/>
          <w:szCs w:val="20"/>
          <w:color w:val="auto"/>
        </w:rPr>
      </w:pPr>
    </w:p>
    <w:p>
      <w:pPr>
        <w:ind w:left="1540" w:right="300" w:hanging="506"/>
        <w:spacing w:after="0" w:line="289" w:lineRule="auto"/>
        <w:tabs>
          <w:tab w:leader="none" w:pos="1540" w:val="left"/>
        </w:tabs>
        <w:numPr>
          <w:ilvl w:val="1"/>
          <w:numId w:val="16"/>
        </w:numPr>
        <w:rPr>
          <w:rFonts w:ascii="Courier New" w:cs="Courier New" w:eastAsia="Courier New" w:hAnsi="Courier New"/>
          <w:sz w:val="17"/>
          <w:szCs w:val="17"/>
          <w:color w:val="auto"/>
        </w:rPr>
      </w:pPr>
      <w:r>
        <w:rPr>
          <w:rFonts w:ascii="Arial" w:cs="Arial" w:eastAsia="Arial" w:hAnsi="Arial"/>
          <w:sz w:val="17"/>
          <w:szCs w:val="17"/>
          <w:color w:val="auto"/>
        </w:rPr>
        <w:t>In September 2016, we initiated a Phase 1 clinical study of EDP-305, which includes healthy subjects and subjects with presumptive non-alcoholic fatty liver disease, or NAFLD, who are obese and may also have pre-diabetes or type 2 diabetes.</w:t>
      </w:r>
    </w:p>
    <w:p>
      <w:pPr>
        <w:spacing w:after="0" w:line="51" w:lineRule="exact"/>
        <w:rPr>
          <w:rFonts w:ascii="Courier New" w:cs="Courier New" w:eastAsia="Courier New" w:hAnsi="Courier New"/>
          <w:sz w:val="17"/>
          <w:szCs w:val="17"/>
          <w:color w:val="auto"/>
        </w:rPr>
      </w:pPr>
    </w:p>
    <w:p>
      <w:pPr>
        <w:ind w:left="1540" w:hanging="506"/>
        <w:spacing w:after="0" w:line="253"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Since November 2016, we presented data at the annual meeting of the American Association of the Study of Liver Diseases (AASLD), the NASH-Tag conference and the International Liver Congress (ILC) that demonstrated that EDP-305 is a highly selective FXR agonist and shows more potent activity in a variety of in vitro and in vivo NASH models compared to the most advanced NASH candidate in development today, obeticholic acid, or OCA.</w:t>
      </w:r>
    </w:p>
    <w:p>
      <w:pPr>
        <w:spacing w:after="0" w:line="82" w:lineRule="exact"/>
        <w:rPr>
          <w:rFonts w:ascii="Courier New" w:cs="Courier New" w:eastAsia="Courier New" w:hAnsi="Courier New"/>
          <w:sz w:val="18"/>
          <w:szCs w:val="18"/>
          <w:color w:val="auto"/>
        </w:rPr>
      </w:pPr>
    </w:p>
    <w:p>
      <w:pPr>
        <w:ind w:left="1540" w:right="16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EDP-305 was granted Fast Track designation by the U.S. Food and Drug Administration for the treatment of NASH patients with liver fibrosis.</w:t>
      </w:r>
    </w:p>
    <w:p>
      <w:pPr>
        <w:spacing w:after="0" w:line="76" w:lineRule="exact"/>
        <w:rPr>
          <w:rFonts w:ascii="Courier New" w:cs="Courier New" w:eastAsia="Courier New" w:hAnsi="Courier New"/>
          <w:sz w:val="18"/>
          <w:szCs w:val="18"/>
          <w:color w:val="auto"/>
        </w:rPr>
      </w:pPr>
    </w:p>
    <w:p>
      <w:pPr>
        <w:ind w:left="1540" w:right="2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intend to study EDP-305 in PBC patients in the fourth quarter of calendar 2017 and to conduct further clinical studies of EDP-305 to enable us to conduct a clinical study with it in NASH patients beginning in 2018.</w:t>
      </w:r>
    </w:p>
    <w:p>
      <w:pPr>
        <w:spacing w:after="0" w:line="76" w:lineRule="exact"/>
        <w:rPr>
          <w:rFonts w:ascii="Courier New" w:cs="Courier New" w:eastAsia="Courier New" w:hAnsi="Courier New"/>
          <w:sz w:val="18"/>
          <w:szCs w:val="18"/>
          <w:color w:val="auto"/>
        </w:rPr>
      </w:pPr>
    </w:p>
    <w:p>
      <w:pPr>
        <w:ind w:left="1540" w:right="6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w:t>
      </w:r>
    </w:p>
    <w:p>
      <w:pPr>
        <w:spacing w:after="0" w:line="76" w:lineRule="exact"/>
        <w:rPr>
          <w:rFonts w:ascii="Courier New" w:cs="Courier New" w:eastAsia="Courier New" w:hAnsi="Courier New"/>
          <w:sz w:val="18"/>
          <w:szCs w:val="18"/>
          <w:color w:val="auto"/>
        </w:rPr>
      </w:pPr>
    </w:p>
    <w:p>
      <w:pPr>
        <w:ind w:left="1040" w:hanging="519"/>
        <w:spacing w:after="0" w:line="29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RSV:</w:t>
      </w:r>
      <w:r>
        <w:rPr>
          <w:rFonts w:ascii="Arial" w:cs="Arial" w:eastAsia="Arial" w:hAnsi="Arial"/>
          <w:sz w:val="16"/>
          <w:szCs w:val="16"/>
          <w:color w:val="auto"/>
        </w:rPr>
        <w:t xml:space="preserve"> Our initial efforts in RSV are concentrated on non-fusion inhibitors which we believe will differentiate our compounds from fusion inhibitors currently in development for RSV because non-fusion inhibitors directly target the virus replication process and have demonstrated high barriers to resistance against the virus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develop successful therapies for RSV, we believe that it may be necessary to utilize more than one compound/mechanism and therefore we are pursuing multiple approaches and compounds that provide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evidence of synergistic potential. We have selected EDP-938, a potent non-fusion inhibitor of both RSV-A and RSV-B activity, as our first development candidate for RSV. New pre-clinical data demonstrated a rapid reduction in viral load, below the limits of detection (LOD), in animals treated with EDP-938. We plan to begin a Phase 1 clinical study of EDP-938 in the fourth quarter of calendar 2017.</w:t>
      </w:r>
    </w:p>
    <w:p>
      <w:pPr>
        <w:spacing w:after="0" w:line="59" w:lineRule="exact"/>
        <w:rPr>
          <w:rFonts w:ascii="Arial" w:cs="Arial" w:eastAsia="Arial" w:hAnsi="Arial"/>
          <w:sz w:val="16"/>
          <w:szCs w:val="16"/>
          <w:color w:val="auto"/>
        </w:rPr>
      </w:pPr>
    </w:p>
    <w:p>
      <w:pPr>
        <w:ind w:left="1040" w:right="40" w:hanging="519"/>
        <w:spacing w:after="0" w:line="25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2017. In addition, we are conducting preclinical experiments with other mechanisms that target HBV.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Collaborative Development and License Agreement with AbbVie, we have developed and licensed to AbbVie:</w:t>
      </w:r>
    </w:p>
    <w:p>
      <w:pPr>
        <w:spacing w:after="0" w:line="127" w:lineRule="exact"/>
        <w:rPr>
          <w:sz w:val="20"/>
          <w:szCs w:val="20"/>
          <w:color w:val="auto"/>
        </w:rPr>
      </w:pPr>
    </w:p>
    <w:p>
      <w:pPr>
        <w:ind w:left="1040" w:right="120" w:hanging="519"/>
        <w:spacing w:after="0" w:line="23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AbbVie’s other HCV treatment regimens currently marketed in the U.S., E.U., Japan and other countries around the world. First approved and sold in the U.S. in December 2014 for treatment of genotype 1, or GT-1, HCV, AbbVie’s HCV regimens containing paritaprevir are now also approved for GT-4 HCV and are available in most major markets. AbbVie’s net sales of these regimens provided us $57.7 million in royalty revenue in our 2016 fiscal year. We have also received a total of $155.0 million in milestone payments through March 31, 2017 upon the commercialization regulatory approvals of a paritaprevir-containing regimen in major markets.</w:t>
      </w:r>
    </w:p>
    <w:p>
      <w:pPr>
        <w:spacing w:after="0" w:line="98"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Glecaprevir (ABT-493):</w:t>
      </w:r>
      <w:r>
        <w:rPr>
          <w:rFonts w:ascii="Arial" w:cs="Arial" w:eastAsia="Arial" w:hAnsi="Arial"/>
          <w:sz w:val="17"/>
          <w:szCs w:val="17"/>
          <w:color w:val="auto"/>
        </w:rPr>
        <w:t xml:space="preserve"> Our second protease inhibitor, glecaprevir, is being developed by AbbVie with its second NS5A inhibitor, pibrentasvir (ABT-530), as AbbVie’s next treatment regimen for HCV. This combination, currently referred to as G/P, is an investigational once daily, all oral, fixed-dose, ribavirin-free treatment for HCV genotypes 1-6, which is referred to as being pan-genotypic.</w:t>
      </w:r>
    </w:p>
    <w:p>
      <w:pPr>
        <w:spacing w:after="0" w:line="57" w:lineRule="exact"/>
        <w:rPr>
          <w:rFonts w:ascii="Arial" w:cs="Arial" w:eastAsia="Arial" w:hAnsi="Arial"/>
          <w:sz w:val="17"/>
          <w:szCs w:val="17"/>
          <w:color w:val="auto"/>
        </w:rPr>
      </w:pPr>
    </w:p>
    <w:p>
      <w:pPr>
        <w:ind w:left="1540" w:right="80" w:hanging="513"/>
        <w:spacing w:after="0" w:line="264"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November 2016, results from several Phase 3 studies of this investigational combination demonstrating 97.5 percent of chronic HCV infected patients without cirrhosis and new to treatment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just 8 weeks of G/P treatment.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left="1540" w:right="200" w:hanging="506"/>
        <w:spacing w:after="0" w:line="323" w:lineRule="auto"/>
        <w:tabs>
          <w:tab w:leader="none" w:pos="1540"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Results were also presented from AbbVie’s EXPEDITION-4 study in chronic HCV patients with chronic kidney disease (CKD), in which 98 percent of patients (n=102/104) across all major genotypes (GT-1-6) achieved SVR12 with 12 weeks of treatment with G/P.</w:t>
      </w:r>
    </w:p>
    <w:p>
      <w:pPr>
        <w:spacing w:after="0" w:line="25" w:lineRule="exact"/>
        <w:rPr>
          <w:rFonts w:ascii="Courier New" w:cs="Courier New" w:eastAsia="Courier New" w:hAnsi="Courier New"/>
          <w:sz w:val="16"/>
          <w:szCs w:val="16"/>
          <w:color w:val="auto"/>
        </w:rPr>
      </w:pPr>
    </w:p>
    <w:p>
      <w:pPr>
        <w:ind w:left="1540" w:right="40" w:hanging="506"/>
        <w:spacing w:after="0" w:line="254" w:lineRule="auto"/>
        <w:tabs>
          <w:tab w:leader="none" w:pos="154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Data from AbbVie’s ENDURANCE-3 study were also presented at the ILC, demonstrating that 95 percent of patients with challenging-to-treat, genotype 3 (GT3) chronic HCV infection, without cirrhosis and who were new to treatment achieved SVR</w:t>
      </w:r>
      <w:r>
        <w:rPr>
          <w:rFonts w:ascii="Arial" w:cs="Arial" w:eastAsia="Arial" w:hAnsi="Arial"/>
          <w:sz w:val="15"/>
          <w:szCs w:val="15"/>
          <w:color w:val="auto"/>
        </w:rPr>
        <w:t>12</w:t>
      </w:r>
      <w:r>
        <w:rPr>
          <w:rFonts w:ascii="Arial" w:cs="Arial" w:eastAsia="Arial" w:hAnsi="Arial"/>
          <w:sz w:val="18"/>
          <w:szCs w:val="18"/>
          <w:color w:val="auto"/>
        </w:rPr>
        <w:t xml:space="preserve"> with 8 weeks of treatment with G/P.</w:t>
      </w:r>
    </w:p>
    <w:p>
      <w:pPr>
        <w:spacing w:after="0" w:line="82" w:lineRule="exact"/>
        <w:rPr>
          <w:rFonts w:ascii="Courier New" w:cs="Courier New" w:eastAsia="Courier New" w:hAnsi="Courier New"/>
          <w:sz w:val="18"/>
          <w:szCs w:val="18"/>
          <w:color w:val="auto"/>
        </w:rPr>
      </w:pPr>
    </w:p>
    <w:p>
      <w:pPr>
        <w:jc w:val="both"/>
        <w:ind w:left="1540" w:right="240" w:hanging="506"/>
        <w:spacing w:after="0" w:line="300" w:lineRule="auto"/>
        <w:tabs>
          <w:tab w:leader="none" w:pos="1540"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In April 2017, data from AbbVie’s EXPEDITION-1 study were presented at the International Liver Congress, or ILC, demonstrating that 99 percent of HCV-infected patients with genotype 1, 2, 4, 5 or 6 and compensated cirrhosis (Child-Pugh A) achieved sustained virologic response at 12 weeks post-treatment (SVR12) following 12 weeks of G/P treatment without ribavirin.</w:t>
      </w:r>
    </w:p>
    <w:p>
      <w:pPr>
        <w:spacing w:after="0" w:line="48" w:lineRule="exact"/>
        <w:rPr>
          <w:rFonts w:ascii="Courier New" w:cs="Courier New" w:eastAsia="Courier New" w:hAnsi="Courier New"/>
          <w:sz w:val="16"/>
          <w:szCs w:val="16"/>
          <w:color w:val="auto"/>
        </w:rPr>
      </w:pPr>
    </w:p>
    <w:p>
      <w:pPr>
        <w:ind w:left="1540" w:hanging="506"/>
        <w:spacing w:after="0" w:line="254" w:lineRule="auto"/>
        <w:tabs>
          <w:tab w:leader="none" w:pos="154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Upon commercialization regulatory approval of G/P in major markets, Enanta would be eligible for up to a total of $80.0 million dollars in milestone payments, as well as annually tiered, double-digit, per-product royalties on 50% of the net sales of this 2-DAA combination.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4631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6585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8" w:name="page19"/>
    <w:bookmarkEnd w:id="18"/>
    <w:p>
      <w:pPr>
        <w:ind w:right="320"/>
        <w:spacing w:after="0" w:line="264" w:lineRule="auto"/>
        <w:rPr>
          <w:sz w:val="20"/>
          <w:szCs w:val="20"/>
          <w:color w:val="auto"/>
        </w:rPr>
      </w:pPr>
      <w:r>
        <w:rPr>
          <w:rFonts w:ascii="Arial" w:cs="Arial" w:eastAsia="Arial" w:hAnsi="Arial"/>
          <w:sz w:val="18"/>
          <w:szCs w:val="18"/>
          <w:color w:val="auto"/>
        </w:rPr>
        <w:t>and contracts since 2006, the most significant of which is our continuing collaboration agreement with AbbVie. In addition, from September 2011 through August 2015, we had a contract with the National Institute of Allergy and Infectious Diseases, or NIAID, which funded the preclinical and early clinical development of an antibiotic product candidate for potential use in biodefense.</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the first quarter of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and our government contract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3"/>
          </w:tcPr>
          <w:p>
            <w:pPr>
              <w:jc w:val="right"/>
              <w:ind w:right="285"/>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25"/>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40" w:type="dxa"/>
            <w:vAlign w:val="bottom"/>
            <w:gridSpan w:val="3"/>
          </w:tcPr>
          <w:p>
            <w:pPr>
              <w:jc w:val="right"/>
              <w:ind w:right="359"/>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18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8,959</w:t>
            </w:r>
          </w:p>
        </w:tc>
        <w:tc>
          <w:tcPr>
            <w:tcW w:w="118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13,004</w:t>
            </w:r>
          </w:p>
        </w:tc>
        <w:tc>
          <w:tcPr>
            <w:tcW w:w="12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19,376</w:t>
            </w:r>
          </w:p>
        </w:tc>
        <w:tc>
          <w:tcPr>
            <w:tcW w:w="94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Pr>
          <w:p>
            <w:pPr>
              <w:spacing w:after="0"/>
              <w:rPr>
                <w:sz w:val="19"/>
                <w:szCs w:val="19"/>
                <w:color w:val="auto"/>
              </w:rPr>
            </w:pPr>
          </w:p>
        </w:tc>
      </w:tr>
      <w:tr>
        <w:trPr>
          <w:trHeight w:val="230"/>
        </w:trPr>
        <w:tc>
          <w:tcPr>
            <w:tcW w:w="2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r>
      <w:tr>
        <w:trPr>
          <w:trHeight w:val="230"/>
        </w:trPr>
        <w:tc>
          <w:tcPr>
            <w:tcW w:w="2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NIAID contract:</w:t>
            </w:r>
          </w:p>
        </w:tc>
        <w:tc>
          <w:tcPr>
            <w:tcW w:w="9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FF0FC"/>
            </w:tcBorders>
          </w:tcPr>
          <w:p>
            <w:pPr>
              <w:spacing w:after="0"/>
              <w:rPr>
                <w:sz w:val="19"/>
                <w:szCs w:val="19"/>
                <w:color w:val="auto"/>
              </w:rPr>
            </w:pPr>
          </w:p>
        </w:tc>
      </w:tr>
      <w:tr>
        <w:trPr>
          <w:trHeight w:val="223"/>
        </w:trPr>
        <w:tc>
          <w:tcPr>
            <w:tcW w:w="2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13,004</w:t>
            </w:r>
          </w:p>
        </w:tc>
        <w:tc>
          <w:tcPr>
            <w:tcW w:w="3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19,376</w:t>
            </w:r>
          </w:p>
        </w:tc>
        <w:tc>
          <w:tcPr>
            <w:tcW w:w="3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Since all of our research obligations under the AbbVie agreement were concluded by June 30, 2011, all milestone payments received since then have been recognized as revenue upon achievement of each milestone by AbbVie. During the six months ended March 31, 2016, we earned and recognized as revenue the last milestone payment for paritaprevir, which was a $30.0 milestone payment upon AbbVie’s achievement of commercialization regulatory approval of a paritaprevir-containing regimen in Japan. We did not earn any milestones during the same period in 2017. Under the terms of the AbbVie agreement, we are eligible to receive additional future milestone payments from AbbVie totaling up to a total of $80.0 million related to the successful commercialization regulatory approvals of G/P in major markets.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also receive annually tiered, double-digit royalties per product on AbbVie’s net sales allocable to any one of our collaboration’s protease inhibitors. Our royalty revenue under the AbbVie agreement has declined year over year due to lower sales of paritaprevir-containing regimens as a result of increased competition from other HCV products on the market. Under the terms of our agreement, as amended in October 2014, 30% of net sales of 3-DAA regimens containing paritaprevir and 45% of net sales of 2-DAA regimens containing paritaprevir are allocated to paritaprevir for purposes of calculating our annually tiered royalties. If G/P, a 2-DAA combination, is approved, we would receive annually tiered, double digit, per product royalties on 50% of its net sales. Beginning with each January 1, the cumulative net sales of a given royalty-bearing product start at zero for purposes of calculating the tiered royalties on a product by product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2017 and 2016: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5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35,928</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26,420</w:t>
            </w: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62" w:lineRule="exact"/>
        <w:rPr>
          <w:sz w:val="20"/>
          <w:szCs w:val="20"/>
          <w:color w:val="auto"/>
        </w:rPr>
      </w:pPr>
    </w:p>
    <w:p>
      <w:pPr>
        <w:ind w:left="1040" w:right="9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interest expense related to our capital lease obligation.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We record the changes in the fair value of the warrants and Series 1 nonconvertible preferred stock as a component of other income (expense), net.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 to date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2016 (referred to as our 2016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2016. For further information, please see the discussion of critical accounting policies included in our 2016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9,143</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5"/>
        </w:trPr>
        <w:tc>
          <w:tcPr>
            <w:tcW w:w="1720" w:type="dxa"/>
            <w:vAlign w:val="bottom"/>
          </w:tcPr>
          <w:p>
            <w:pPr>
              <w:spacing w:after="0"/>
              <w:rPr>
                <w:sz w:val="18"/>
                <w:szCs w:val="18"/>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nonconvertible preferred stock, net</w:t>
            </w: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r>
      <w:tr>
        <w:trPr>
          <w:trHeight w:val="580"/>
        </w:trPr>
        <w:tc>
          <w:tcPr>
            <w:tcW w:w="6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8,959</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13,004</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NIAID contract: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recognized revenue of $9.0 million during the three months ended March 31, 2017 as compared to $13.0 million during the three months ended March 31, 2016. During the three months ended March 31, 2017 and 2016, revenue consisted of royalties on the portion of AbbVie’s net sales of its HCV treatment regimens allocable to paritaprevir.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8,200</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Research and development expenses increased $3.9 million for the three months ended March 31, 2017 as compared to the same period in 2016. The increase was primarily due to progression of preclinical and clinical activities in our liver disease program and, to a lesser extent, our virology program. Increases were driven by an increase in headcount to support our preclinical activities and an increase in external costs for clinical and preclinical activities.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$1.0 million for the three months ended March 31, 2017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2016. The increase was primarily due to an increase in stock-based compensation expense of $0.7 million due to additional stock option grants to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1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The increase in interest income for the three months ended March 31, 2017 as compared to the same period in 2016 was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investment balances and changes in interest rates for the period ended March 31, 2017 as compared to the same period in 2016.</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The expense recorded during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an increase in the fair value of the warrant liability and Series 1 nonconvertible preferred stock as a result of the remeasurement of these instruments from quarter to quarter. The income recorded during the three months ended March 31, 2016, was due to a decrease in the fair value of the warrant liability and Series 1 nonconvertible preferred stock as a result of the remeasurement of our warrant liability and Series 1 nonconvertible preferred stock.</w:t>
      </w:r>
    </w:p>
    <w:p>
      <w:pPr>
        <w:spacing w:after="0" w:line="18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For the three months ended March 31, 2017 and 2016, we recorded an income tax (expense) benefit of $3.6 million and ($1.6)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For the three months ended March 31, 2017, we increased our estimated annual effective tax rate for fiscal 2017, resulting in an income tax benefit due to the Company’s pre-tax loss for the quarter. For the three months ended March 31, 2016, we increased our estimated annual effective tax rate for fiscal 2016, which resulted in an income tax provision despite our pre-tax loss for the quarter.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March 31, 2017 and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5"/>
        </w:trPr>
        <w:tc>
          <w:tcPr>
            <w:tcW w:w="1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left="4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19,376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61,449</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25,530</w:t>
            </w: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18,176</w:t>
            </w: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10,398</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8,244</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1,121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764</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 and Series 1</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nonconvertible preferred stock, net</w:t>
            </w:r>
          </w:p>
        </w:tc>
        <w:tc>
          <w:tcPr>
            <w:tcW w:w="24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5,107</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(11,286)</w:t>
            </w:r>
          </w:p>
        </w:tc>
        <w:tc>
          <w:tcPr>
            <w:tcW w:w="1740" w:type="dxa"/>
            <w:vAlign w:val="bottom"/>
          </w:tcPr>
          <w:p>
            <w:pPr>
              <w:spacing w:after="0"/>
              <w:rPr>
                <w:sz w:val="19"/>
                <w:szCs w:val="19"/>
                <w:color w:val="auto"/>
              </w:rPr>
            </w:pPr>
          </w:p>
        </w:tc>
      </w:tr>
      <w:tr>
        <w:trPr>
          <w:trHeight w:val="432"/>
        </w:trPr>
        <w:tc>
          <w:tcPr>
            <w:tcW w:w="7000" w:type="dxa"/>
            <w:vAlign w:val="bottom"/>
            <w:gridSpan w:val="2"/>
          </w:tcPr>
          <w:p>
            <w:pPr>
              <w:jc w:val="right"/>
              <w:ind w:right="111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Revenue.</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19,376</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30,873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NIAID contract:</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recognized revenue of $19.4 million during the six months ended March 31, 2017 as compared to $61.4 million during the six months ended March 31, 2016. During the six months ended March 31, 2017, revenue consisted exclusively of royalties on the portion of AbbVie’s net sales of its HCV treatment regimens allocable to paritaprevir. During the six months ended March 31, 2016, revenue consisted of a $30.0 million milestone earned upon AbbVie’s achievement of commercialization regulatory approval of a paritaprevir-containing regimen in Japan, royalties on the portion of AbbVie’s net sales of its HCV treatment regimen allocable to paritaprevir of $30.9 million, and $0.6 million of revenue earned under our contract with NIAID.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14,112</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8,564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Research and development expenses increased $7.4 million for the six months ended March 31, 2017 as compared to the same period in 2016. The increase was primarily due to progression of preclinical and clinical activities in our virology and liver disease programs. Increases were driven by an increase in headcount to support our preclinical activities and an increase in external costs for clinical and preclinical activities.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$2.2 million for the six months ended March 31,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The increase was primarily due to an increase in stock-based compensation expense of $1.7 million due to additional stock option awards to employees and achievement of milestones under existing performance-based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increase in interest income for the six months ended March 31, 2017 as compared to the same period in 2016 was due to higher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balances and changes in interest rates for the period ended March 31, 2017 as compared to the same period in 2016.</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Change in fair value of warrant liability and Series 1 nonconvertible preferred stock. </w:t>
      </w:r>
      <w:r>
        <w:rPr>
          <w:rFonts w:ascii="Arial" w:cs="Arial" w:eastAsia="Arial" w:hAnsi="Arial"/>
          <w:sz w:val="16"/>
          <w:szCs w:val="16"/>
          <w:color w:val="auto"/>
        </w:rPr>
        <w:t>The expense recorded during the six months ended March 31,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an increase in the fair value of the warrant liability and Series 1 nonconvertible preferred stock as a result of the remeasurement of these instruments from quarter to quarter. The income recorded during the six months ended March 31, 2016, was due to a decrease in the fair value of the warrant liability and Series 1 nonconvertible preferred stock as a result of the remeasurement of our warrant liability and Series 1 nonconvertible preferred stock.</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For the six months ended March 31, 2017 and 2016, we recorded an income tax (expense) benefit of $5.1 million and $(11.3)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Our estimated annual effective tax rate of 33.0%, used for the six months ended March 31, 2017 differs from our statutory rate of 35.0% due to federal research and development tax credits which reduced taxes payable slightly below our statutory rate. For the six months ended March 31, 2016, our estimated annual effective tax rate of 31.5% differed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color w:val="auto"/>
        </w:rPr>
        <w:t>from the statutory rate of 35.0% primarily due to reinstatement of the federal research and development tax credits which are included in our annual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2017, our principal sources of liquidity were cash, cash equivalents and short-term and long-term marketable securities totaling $240.9 million.</w:t>
      </w:r>
    </w:p>
    <w:p>
      <w:pPr>
        <w:spacing w:after="0" w:line="24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From our inception through March 31, 2017, we have financed our operations primarily through contract payments under our collaborations, government research and development contracts, and the net proceeds from our initial public offering of our equity. The following table shows a summary of our cash flows for the six months ended March 31, 2017 and 2016:</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40,047</w:t>
            </w:r>
          </w:p>
        </w:tc>
        <w:tc>
          <w:tcPr>
            <w:tcW w:w="80" w:type="dxa"/>
            <w:vAlign w:val="bottom"/>
          </w:tcPr>
          <w:p>
            <w:pPr>
              <w:spacing w:after="0"/>
              <w:rPr>
                <w:sz w:val="21"/>
                <w:szCs w:val="21"/>
                <w:color w:val="auto"/>
              </w:rPr>
            </w:pPr>
          </w:p>
        </w:tc>
      </w:tr>
      <w:tr>
        <w:trPr>
          <w:trHeight w:val="230"/>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activities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(6,089)</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Financing 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21"/>
                <w:szCs w:val="21"/>
                <w:color w:val="auto"/>
              </w:rPr>
            </w:pPr>
          </w:p>
        </w:tc>
      </w:tr>
      <w:tr>
        <w:trPr>
          <w:trHeight w:val="20"/>
        </w:trPr>
        <w:tc>
          <w:tcPr>
            <w:tcW w:w="43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80" w:type="dxa"/>
            <w:vAlign w:val="bottom"/>
            <w:shd w:val="clear" w:color="auto" w:fill="CFF0FC"/>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80" w:type="dxa"/>
            <w:vAlign w:val="bottom"/>
            <w:shd w:val="clear" w:color="auto" w:fill="CFF0FC"/>
          </w:tcPr>
          <w:p>
            <w:pPr>
              <w:spacing w:after="0"/>
              <w:rPr>
                <w:sz w:val="20"/>
                <w:szCs w:val="20"/>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decrease in cash provided by operating activities of $39.9 million for the six months ended March 31, 2017 as compared to the same period in 2016 is driven primarily by the absence in 2017 of the $30.0 million milestone payment we received from AbbVie in the 2016 period. In addition, we increased cash spending on research and development, which was reflected in our net loss, during the six months ended March 31, 2017 compared to the same period in 2016 in order to progress clinical development and preclinical research in our proprietary programs. These decreases to our operating income were partially offset by a decrease in net tax payments (refunds received) as reflected in our income tax expense, based on lower projected income before income tax in the current year compared to the same period in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increase in cash provided by investing activities of $8.8 million for the six months ended March 31, 2017 as compared to the same period in 2016 was driven by sales of marketable securities in the 2017 period as well as a decrease of $2.2 million in capital asset outlay due to the expansion of our research facility which was completed in fiscal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jc w:val="both"/>
        <w:ind w:right="240"/>
        <w:spacing w:after="0" w:line="308" w:lineRule="auto"/>
        <w:rPr>
          <w:sz w:val="20"/>
          <w:szCs w:val="20"/>
          <w:color w:val="auto"/>
        </w:rPr>
      </w:pPr>
      <w:r>
        <w:rPr>
          <w:rFonts w:ascii="Arial" w:cs="Arial" w:eastAsia="Arial" w:hAnsi="Arial"/>
          <w:sz w:val="17"/>
          <w:szCs w:val="17"/>
          <w:color w:val="auto"/>
        </w:rPr>
        <w:t>The decrease in net cash provided by financing activities of $0.9 million for the six months ended March 31, 2017 as compared to the same period in 2016 was driven by a decrease in exercises of stock options and payments in 2017 of tax withholding for the vesting of restricted stock units.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2017, we had $240.9 million in cash, cash equivalents and short-term and long-term marketable securities. We believe that our existing cash, cash equivalents and marketable securities as of March 31, 2017,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royalties on paritaprevir and glecaprevir, if any, and any sales of our product candidates, if any, or royalties thereon;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2016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six months ended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$240.9 million at March 31, 2017 consisting of cash, money market funds, commercial paper, corporate bonds and government securities.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March 31, 2017.</w:t>
      </w: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380"/>
          </w:cols>
          <w:pgMar w:left="240" w:top="328" w:right="27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40"/>
          </w:cols>
          <w:pgMar w:left="240" w:top="328" w:right="279" w:bottom="1440" w:gutter="0" w:footer="0" w:header="0"/>
          <w:type w:val="continuous"/>
        </w:sect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(ABT-493) for the treatment of HCV. AbbVie may act in its best interest rather than in our best interest, which could adversely affect our business.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rely on AbbVie to fund and conduct the clinical development and commercialization of regimens containing paritaprevir or glecaprevir (ABT-493) (our second protease inhibitor, currently under regulatory review in the U.S., E.U. and Japan), over which AbbVie has complete control. Our ability to generate significant revenue in the near term will depend primarily on the success of AbbVie’s continued efforts to commercialize its paritaprevir-containing regimens in markets worldwide, as well as the successful regulatory approval, marketing and commercialization by AbbVie of its investigational combination therapy incorporating glecaprevir.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potentially glecaprevir in combination therapies. For example, AbbVie:</w:t>
      </w:r>
    </w:p>
    <w:p>
      <w:pPr>
        <w:spacing w:after="0" w:line="59" w:lineRule="exact"/>
        <w:rPr>
          <w:sz w:val="20"/>
          <w:szCs w:val="20"/>
          <w:color w:val="auto"/>
        </w:rPr>
      </w:pPr>
    </w:p>
    <w:p>
      <w:pPr>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inhibitors in the various markets of the world where these therapies are being introduced and sold by AbbVie;</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 especially as new therapies are introduced into the market over the next few years;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approaches potential approval and launch of its HCV combination containing glecaprevir;</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glecaprevir;</w:t>
      </w:r>
    </w:p>
    <w:p>
      <w:pPr>
        <w:spacing w:after="0" w:line="62"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not commit sufficient resources to the regulatory approval of regimens containing glecaprevir or to the marketing and distribution of regimens containing paritaprevir or glecaprevir, whether for competitive or strategic reasons or otherwise due to a change in business priorities;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glecaprevir in the treatment of HCV.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type w:val="continuous"/>
        </w:sectPr>
      </w:pPr>
    </w:p>
    <w:bookmarkStart w:id="26" w:name="page27"/>
    <w:bookmarkEnd w:id="26"/>
    <w:p>
      <w:pPr>
        <w:ind w:right="20"/>
        <w:spacing w:after="0" w:line="290" w:lineRule="auto"/>
        <w:rPr>
          <w:sz w:val="20"/>
          <w:szCs w:val="20"/>
          <w:color w:val="auto"/>
        </w:rPr>
      </w:pPr>
      <w:r>
        <w:rPr>
          <w:rFonts w:ascii="Arial" w:cs="Arial" w:eastAsia="Arial" w:hAnsi="Arial"/>
          <w:sz w:val="16"/>
          <w:szCs w:val="16"/>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regulatory approval and commercialization efforts related to glecaprevir could be delayed or terminated or be commercially unsuccessful. In addition, AbbVie has the right to make decisions regarding the development and commercialization of product candidates without consulting us, and may make decisions with which we do not agree. If AbbVie acts in a manner that is not in our best interest, then it could adversely affect our business and prospects.</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maintain current levels of sales of these regimens, our royalty revenues and results of operations would be adversely affected.</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quarterly royalty revenue from AbbVie’s net sales of HCV treatment regimens containing paritaprevir has declined since those sales peaked in the first quarter of our fiscal 2016. While commercialization of these regimens is exclusively in AbbVie’s control without any input from us, we believe it is possible that prices will decline further due to payers obtaining additional discounts, a shift in AbbVie’s payer mix toward more deeply discounted segments, particularly outside of the United States, and a decline in AbbVie’s market share due to increased competition. We also note that AbbVie’s principal competitor in HCV has reported a continuing decline across all major geographic markets in the number of new patients starting on DAA treatments for HCV.</w:t>
      </w:r>
    </w:p>
    <w:p>
      <w:pPr>
        <w:spacing w:after="0" w:line="15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regimens from their formulary coverage lists or limit the types of patients for whom coverage will be provided. Any such change in formulary coverage, discounts or rebates or reimbursement for AbbVie’s HCV regimens would negatively affect the demand for such regimens and our royalty revenues from them.</w:t>
      </w:r>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HBV and RSV, as well as other liver diseases and viral infections, which may result in others discovering, developing or commercializing products before we do or doing so more successfully than we or our collaborators.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HBV, RSV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expect AbbVie’s HCV treatment regimens containing any of our licensed protease inhibitors to face intense and increasing competition as new products continue to enter the HCV market. AbbVie’s HCV treatment regimens currently face competition in various world markets and subpopulations of HCV from Gilead’s Sovaldi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(sofosbuvir), Harvoni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fixed-dose combination of sofosbuvir and ledipasvir) and Epclusa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 dose combination of sofosbuvir and velpatasvir), Bristol-Myers Squibb’s Daklinza™ (daclatasvir) and daclatasvir in combination with asunaprevir, Johnson &amp; Johnson’s Olysio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(simeprevir), and Merck’s Zepatier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fixed-dose combination of grazoprevir and elbasvir). Other all-oral treatment regimens are under development at Merck, Gilead and Johnson &amp; Johnson and may obtain regulatory approvals for the treatment of HCV in the next one to three years. These other potential new treatment regimens may render AbbVie’s approved treatment regimens or its next combination regimen currently under regulatory review in the U.S., E.U. and Japan, each of which contains one of our HCV protease inhibitors, noncompetitive or less competitive.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8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AbbVie, obsolete or noncompetitive. Even if successfully developed and subsequently approved by the FDA, AbbVie’s regimens that contain one of our collaboration’s protease inhibitors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Tobira (Allergan). In May 2016, the FDA approved Intercept’s FXR agonist (brand name Ocaliva™) for the treatment of primary biliary cholangitis (PBC). In addition, a number of companies are in Phase 2 clinical trials for NASH or related conditions. These companies include Alberio, Arisaph, Astra-Zeneca, BMS, Conatus, Cirius, Galectin, Galmed, Gilead, GlaxoSmithKline, Immuron, Inventiva, Medicinova, Novartis, NGM Novo Nordisk, Shire, and Viking. A significant number of other companies are conducting earlier clinical trials that may be applicable in NASH and other cholestatic diseases, including Bird Rock Bio, Boehringer Ingelheim, Can-Fite Biopharma, Cymabay, Durect, Genkyotex, Ionis, and Islet, and there are additional companies conducting preclinical studies in these disease areas.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Ionis, Maxwell, Replicor, Roche and Spring Bank have Phase 2 programs in progress, and a number of companies have Phase 1 or earlier stage HBV programs, including Aicuris, Alnylam, Atlimmune, Arbutus, Assembly, Enyo, Johnson &amp; Johnson, Transgene, Ionis, Spring Bank and Replicor.</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Ark Bioscienes, Aviragen (formerly Biota), Johnson &amp; Johnson and Gilead each have compounds in Phase 2 development, as does Ablynx with a potential therapeutic antibody. Earlier stage, small molecule programs have also been reported by Medivir, Pulmocide, and ReViral. A prophylactic, monoclonal-antibody-based treatment from MedImmune, which is commercialized by AbbVie outside of the U.S., is approved for infants considered at high risk for RSV infection; however studies have found that most young children affected by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HBV and RSV programs, we will need to successfully:</w:t>
      </w:r>
    </w:p>
    <w:p>
      <w:pPr>
        <w:spacing w:after="0" w:line="63" w:lineRule="exact"/>
        <w:rPr>
          <w:sz w:val="20"/>
          <w:szCs w:val="20"/>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glecaprevir, EDP-305, and EDP-938, our ability to expand our business and achieve our strategic objectives will be impaired.</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301"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To date, our principal sources of revenue have been our collaboration agreements, including our current agreement with AbbVie.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each of our 2016, 2015 and 2014 fiscal years our net income resulted primarily from license payments, including milestone payments we earned from AbbVie and royalties we earned since December 2014 on AbbVie’s net sales allocated to paritaprevir. There is no assurance, however, that we will report net income in subsequent years. To date, we have not commercialized any products ourselves.</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paritaprevir are uncertain given the competitive nature of the market for HCV therapies, the emergence of new, and in some cases, not yet approved, therapies for HCV, the changing nature of payer contracts of AbbVie and others, and the varying rates of reimbursement in different countries. Future milestone payments are uncertain because AbbVie may not achieve regulatory approvals of G/P or may choose not to continue its commercialization activities for that combination.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glecaprevir, that product candidate may not be approved by the FDA or other regulatory authorities or, if glecaprevir is approved, the combination containing it may not be accepted in the market. If we are unable to develop and commercialize any more of our product candidates, either alone or with a collaborator, or if any such product candidate does not achieve market acceptance, we may never generate sufficient product royalties or product sales. In addition, for any of our product candidates other than paritaprevir or glecaprevir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30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may require substantial additional financing in the longer term to achieve our goals if the further commercialization of paritaprevir is curtailed or if any regulatory approval or commercialization of glecaprevir is delayed, terminated or is not successful. A failure to obtain this necessary capital when needed could force us to delay, limit, reduce or terminate some or all of our product development efforts.</w:t>
      </w:r>
    </w:p>
    <w:p>
      <w:pPr>
        <w:spacing w:after="0" w:line="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glecaprevir.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level of future sales of paritaprevir-containing regimens and the resulting levels of annually tiered royalties on paritaprevir, as well as the level of potential sales, if any, of the combination containing glecaprevir and the levels of its annually tiered royalties.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2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HBV, HCV, NASH, PBC or RSV;</w:t>
      </w:r>
    </w:p>
    <w:p>
      <w:pPr>
        <w:spacing w:after="0" w:line="62" w:lineRule="exact"/>
        <w:rPr>
          <w:rFonts w:ascii="Arial" w:cs="Arial" w:eastAsia="Arial" w:hAnsi="Arial"/>
          <w:sz w:val="18"/>
          <w:szCs w:val="18"/>
          <w:color w:val="auto"/>
        </w:rPr>
      </w:pPr>
    </w:p>
    <w:p>
      <w:pPr>
        <w:ind w:left="1040" w:right="32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results of any Phase 3 clinical trial may not be adequate to support marketing approval for AbbVie’s combination regimen containing glecaprevir. In addition, if the FDA or the EMA disagrees with AbbVie’s choice of the key testing criteria, or primary endpoint, or the results for the primary endpoint are subject to confounding factors, the FDA or the EMA, or both, may refuse to approve AbbVie’s G/P combination regimen. The FDA or the EMA also may require additional clinical trials as a condition for approving any of these product candidates. AbbVie anticipates that G/P could receive regulatory approvals in the U.S., E.U. and Japan in calendar 2017.</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EDP-305 or any other product candidate emerging from our current NASH, PBC, HBV and RSV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6"/>
          <w:szCs w:val="26"/>
          <w:color w:val="auto"/>
          <w:vertAlign w:val="superscript"/>
        </w:rPr>
        <w:t>®</w:t>
      </w:r>
      <w:r>
        <w:rPr>
          <w:rFonts w:ascii="Arial" w:cs="Arial" w:eastAsia="Arial" w:hAnsi="Arial"/>
          <w:sz w:val="18"/>
          <w:szCs w:val="18"/>
          <w:color w:val="auto"/>
        </w:rPr>
        <w:t>, approved in May 2016 for PBC, and an older drug not commonly used but approved to treat cholesterol gallstone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20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or AbbVie in the case of glecaprevir,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(in the case of G/P) from commercializing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results of preclinical studies and early clinical trials of our product candidates, whether glecaprevir, EDP-305 or any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7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and is responsible for obtaining regulatory approvals for glecaprevir.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right="8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38" w:lineRule="exact"/>
        <w:rPr>
          <w:rFonts w:ascii="Arial" w:cs="Arial" w:eastAsia="Arial" w:hAnsi="Arial"/>
          <w:sz w:val="17"/>
          <w:szCs w:val="17"/>
          <w:color w:val="auto"/>
        </w:rPr>
      </w:pPr>
    </w:p>
    <w:p>
      <w:pPr>
        <w:ind w:left="1040" w:right="4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or in the case of glecaprevir, AbbVie, may delay or terminate the development of a product candidate at any time if we, or in the case of glecaprevir, AbbVie, believe the perceived market or commercial opportunity does not justify further investment, which could materially harm our business and adversely affect our stock price.</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in the case of glecaprevir, AbbVie,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glecaprevir without consulting us, and may make decisions with which we do not agree.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glecaprevir in its investigational HCV treatment regimen, or even if we are able to commercialize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continue to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U.S. Congress are still working to repeal the ACA. More recently, President Trump and the Republican majorities in both houses of the U.S. Congress are seeking to repeal and replace all or portions of the ACA but to date they have been unable to agree on any such legislation. We cannot predict what legislation, if any, to repeal and replace the ACA will become law, or what impact any such legislation may have on us or AbbVie’s commercialization of its HCV regimens.</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AbbVie and our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40"/>
        <w:spacing w:after="0" w:line="277" w:lineRule="auto"/>
        <w:rPr>
          <w:sz w:val="20"/>
          <w:szCs w:val="20"/>
          <w:color w:val="auto"/>
        </w:rPr>
      </w:pPr>
      <w:r>
        <w:rPr>
          <w:rFonts w:ascii="Arial" w:cs="Arial" w:eastAsia="Arial" w:hAnsi="Arial"/>
          <w:sz w:val="18"/>
          <w:szCs w:val="18"/>
          <w:color w:val="auto"/>
        </w:rPr>
        <w:t>collaborator or we develop could have a material adverse effect on our operating results, our ability to raise capital needed to commercialize products and our overall financial condition.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developed under our collaboration with AbbVie. The implementation of cost containment measures or other healthcare reforms may limit our ability to generate revenue, maintain profitability or commercialize our product candidates.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glecaprevir, as well as similar market acceptance of any other product candidates we plan to develop independently or in collaboration with others.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Paritaprevir, glecaprevir, as well as EDP-305,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80" w:lineRule="exact"/>
        <w:rPr>
          <w:sz w:val="20"/>
          <w:szCs w:val="20"/>
          <w:color w:val="auto"/>
        </w:rPr>
      </w:pPr>
    </w:p>
    <w:p>
      <w:pPr>
        <w:ind w:left="1040" w:right="3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1040" w:right="7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760"/>
        <w:spacing w:after="0" w:line="277" w:lineRule="auto"/>
        <w:rPr>
          <w:sz w:val="20"/>
          <w:szCs w:val="20"/>
          <w:color w:val="auto"/>
        </w:rPr>
      </w:pPr>
      <w:r>
        <w:rPr>
          <w:rFonts w:ascii="Arial" w:cs="Arial" w:eastAsia="Arial" w:hAnsi="Arial"/>
          <w:sz w:val="18"/>
          <w:szCs w:val="18"/>
          <w:color w:val="auto"/>
        </w:rPr>
        <w:t>maintain such product collaborations if, for example, development or approval of a product candidate is delayed or sales of an approved product are disappointing.</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glecaprevir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18"/>
          <w:szCs w:val="18"/>
          <w:color w:val="auto"/>
        </w:rPr>
        <w:t>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60"/>
        <w:spacing w:after="0" w:line="270" w:lineRule="auto"/>
        <w:rPr>
          <w:sz w:val="20"/>
          <w:szCs w:val="20"/>
          <w:color w:val="auto"/>
        </w:rPr>
      </w:pPr>
      <w:r>
        <w:rPr>
          <w:rFonts w:ascii="Arial" w:cs="Arial" w:eastAsia="Arial" w:hAnsi="Arial"/>
          <w:sz w:val="17"/>
          <w:szCs w:val="17"/>
          <w:color w:val="auto"/>
        </w:rPr>
        <w:t>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3" w:name="page44"/>
    <w:bookmarkEnd w:id="43"/>
    <w:p>
      <w:pPr>
        <w:ind w:right="8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7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18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63"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right="24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63" w:lineRule="exact"/>
        <w:rPr>
          <w:rFonts w:ascii="Arial" w:cs="Arial" w:eastAsia="Arial" w:hAnsi="Arial"/>
          <w:sz w:val="17"/>
          <w:szCs w:val="17"/>
          <w:color w:val="auto"/>
        </w:rPr>
      </w:pPr>
    </w:p>
    <w:p>
      <w:pPr>
        <w:ind w:left="1040" w:right="86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0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40"/>
        <w:spacing w:after="0" w:line="272" w:lineRule="auto"/>
        <w:rPr>
          <w:sz w:val="20"/>
          <w:szCs w:val="20"/>
          <w:color w:val="auto"/>
        </w:rPr>
      </w:pPr>
      <w:r>
        <w:rPr>
          <w:rFonts w:ascii="Arial" w:cs="Arial" w:eastAsia="Arial" w:hAnsi="Arial"/>
          <w:sz w:val="17"/>
          <w:szCs w:val="17"/>
          <w:color w:val="auto"/>
        </w:rPr>
        <w:t>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spacing w:after="0" w:line="276" w:lineRule="auto"/>
        <w:rPr>
          <w:sz w:val="20"/>
          <w:szCs w:val="20"/>
          <w:color w:val="auto"/>
        </w:rPr>
      </w:pPr>
      <w:r>
        <w:rPr>
          <w:rFonts w:ascii="Arial" w:cs="Arial" w:eastAsia="Arial" w:hAnsi="Arial"/>
          <w:sz w:val="17"/>
          <w:szCs w:val="17"/>
          <w:color w:val="auto"/>
        </w:rPr>
        <w:t>our clinical studies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2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40" w:hanging="519"/>
        <w:spacing w:after="0" w:line="28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2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6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60" w:hanging="519"/>
        <w:spacing w:after="0" w:line="27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50" w:lineRule="exact"/>
        <w:rPr>
          <w:sz w:val="20"/>
          <w:szCs w:val="20"/>
          <w:color w:val="auto"/>
        </w:rPr>
      </w:pPr>
    </w:p>
    <w:p>
      <w:pPr>
        <w:ind w:left="1040" w:right="76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actions by AbbVie regarding HCV treatment regimens containing paritaprevir or the G/P combination containing glecaprevir that it is developing, including announcements regarding clinical, regulatory or commercial developments or our collaboration;</w:t>
      </w:r>
    </w:p>
    <w:p>
      <w:pPr>
        <w:spacing w:after="0" w:line="38" w:lineRule="exact"/>
        <w:rPr>
          <w:rFonts w:ascii="Arial" w:cs="Arial" w:eastAsia="Arial" w:hAnsi="Arial"/>
          <w:sz w:val="17"/>
          <w:szCs w:val="17"/>
          <w:color w:val="auto"/>
        </w:rPr>
      </w:pPr>
    </w:p>
    <w:p>
      <w:pPr>
        <w:ind w:left="1040" w:right="6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G/P combination, if approved, to achieve commercial success;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executive officers are parties to employment agreements that provide for aggregate cash payments of up to approximately $4.1 million for severance and other non-equity-based benefits in the event of a termination of employment in connection with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60"/>
        <w:spacing w:after="0" w:line="257" w:lineRule="auto"/>
        <w:rPr>
          <w:sz w:val="20"/>
          <w:szCs w:val="20"/>
          <w:color w:val="auto"/>
        </w:rPr>
      </w:pPr>
      <w:r>
        <w:rPr>
          <w:rFonts w:ascii="Arial" w:cs="Arial" w:eastAsia="Arial" w:hAnsi="Arial"/>
          <w:sz w:val="18"/>
          <w:szCs w:val="18"/>
          <w:color w:val="auto"/>
        </w:rPr>
        <w:t>change of control of our company. In addition, based on the March 31, 2017 closing price of our common stock of $30.80 per share, the aggregate intrinsic value of unvested stock options and other equity awards subject to accelerated vesting upon these events was $7.1 million as of March 31, 2017.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Based on the market value of our common stock at March 31, 2017 and the number of shares of our common stock held by non-affiliates, we will continue to be an “emerging growth company” until our fiscal 2018.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continue to be an “emerging growth company” until our fiscal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2017, we had 19,053,797 outstanding shares of common stock. In addition, at that date 2,325,622 and 249,542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0" w:type="dxa"/>
            <w:vAlign w:val="bottom"/>
          </w:tcPr>
          <w:p>
            <w:pPr>
              <w:spacing w:after="0"/>
              <w:rPr>
                <w:sz w:val="1"/>
                <w:szCs w:val="1"/>
                <w:color w:val="auto"/>
              </w:rPr>
            </w:pPr>
          </w:p>
        </w:tc>
      </w:tr>
      <w:tr>
        <w:trPr>
          <w:trHeight w:val="338"/>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or 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Certification of the Chief Executive Officer and Chief Financial Officer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0"/>
              </w:rPr>
              <w:t>pursuant to 18 U.S.C. Section 1350, as adopted pursuant to Section 906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00" w:hanging="1032"/>
        <w:spacing w:after="0" w:line="288"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March 31, 2017, formatted in XBRL (eXtensible Business Reporting Language):</w:t>
      </w:r>
    </w:p>
    <w:p>
      <w:pPr>
        <w:ind w:left="1040" w:right="40"/>
        <w:spacing w:after="0" w:line="287" w:lineRule="auto"/>
        <w:rPr>
          <w:rFonts w:ascii="Arial" w:cs="Arial" w:eastAsia="Arial" w:hAnsi="Arial"/>
          <w:sz w:val="16"/>
          <w:szCs w:val="16"/>
          <w:color w:val="auto"/>
        </w:rPr>
      </w:pPr>
      <w:r>
        <w:rPr>
          <w:rFonts w:ascii="Arial" w:cs="Arial" w:eastAsia="Arial" w:hAnsi="Arial"/>
          <w:sz w:val="16"/>
          <w:szCs w:val="16"/>
          <w:color w:val="auto"/>
        </w:rPr>
        <w:t>(i) Consolidated Balance Sheets as of March 31, 2017 and September 30, 2016 of Enanta Pharmaceuticals, Inc., (ii) Consolidated Statements of Operations for the three and six months ended March 31, 2017 and 2016 of Enanta Pharmaceuticals, Inc., (iii) Consolidated Statements of Comprehensive Income (Loss) for the three and six months ended March 31, 2017 and 2016 of Enanta Pharmaceuticals, Inc., (iv) Consolidated Statements of Cash Flows for the six months ended March 31, 2017 and 2016 of Enanta Pharmaceuticals, Inc., and (v) Notes to Consolidated Financial Statements of Enanta Pharmaceuticals, Inc.</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51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0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5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or 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and Chief Financial</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Officer pursuant to 18 U.S.C. Section 1350, as adopted pursuant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534"/>
              <w:spacing w:after="0"/>
              <w:rPr>
                <w:sz w:val="20"/>
                <w:szCs w:val="20"/>
                <w:color w:val="auto"/>
              </w:rPr>
            </w:pPr>
            <w:r>
              <w:rPr>
                <w:rFonts w:ascii="Arial" w:cs="Arial" w:eastAsia="Arial" w:hAnsi="Arial"/>
                <w:sz w:val="18"/>
                <w:szCs w:val="18"/>
                <w:color w:val="auto"/>
                <w:w w:val="86"/>
              </w:rPr>
              <w:t>101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The following materials from the Quarterly Report of Enanta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Pharmaceuticals, Inc. on Form 10-Q for the quarter ended of March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31, 2017, formatted in XBRL (eXtensible Business Reporting</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spacing w:after="0"/>
        <w:rPr>
          <w:sz w:val="20"/>
          <w:szCs w:val="20"/>
          <w:color w:val="auto"/>
        </w:rPr>
      </w:pPr>
      <w:r>
        <w:rPr>
          <w:rFonts w:ascii="Arial" w:cs="Arial" w:eastAsia="Arial" w:hAnsi="Arial"/>
          <w:sz w:val="18"/>
          <w:szCs w:val="18"/>
          <w:color w:val="auto"/>
        </w:rPr>
        <w:t>Language): (i) Consolidated Balance Sheets as of March 31, 2017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September 30, 2016 of Enanta Pharmaceuticals, Inc., (ii) Consolidated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Statements of Operations for the three and six months ended March 31,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2017 and 2016 of Enanta Pharmaceuticals, Inc., (iii) Consolidated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Statements of Comprehensive Income (Loss) for the three and six</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months ended March 31, 2017 and 2016 of Enanta Pharmaceuticals,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Inc., (iv) Consolidated Statements of Cash Flows for the six months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ended March 31, 2017 and 2016 of Enanta Pharmaceuticals, Inc., and</w:t>
      </w:r>
    </w:p>
    <w:p>
      <w:pPr>
        <w:spacing w:after="0" w:line="9" w:lineRule="exact"/>
        <w:rPr>
          <w:sz w:val="20"/>
          <w:szCs w:val="20"/>
          <w:color w:val="auto"/>
        </w:rPr>
      </w:pPr>
    </w:p>
    <w:p>
      <w:pPr>
        <w:ind w:left="1040" w:right="6220" w:firstLine="8"/>
        <w:spacing w:after="0" w:line="261"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Notes to Consolidated Financial Statements of Enanta Pharmaceuticals, Inc.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months ended March 31, 2017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Dated: May 10, 2017</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Dated: May 10, 2017</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1."/>
      <w:numFmt w:val="decimal"/>
      <w:start w:val="1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lvl w:ilvl="1">
      <w:lvlJc w:val="left"/>
      <w:lvlText w:val="o"/>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o"/>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01"/>
    </w:lvl>
  </w:abstractNum>
  <w:abstractNum w:abstractNumId="46">
    <w:nsid w:val="7644A45C"/>
    <w:multiLevelType w:val="hybridMultilevel"/>
    <w:lvl w:ilvl="0">
      <w:lvlJc w:val="left"/>
      <w:lvlText w:val="(%1)"/>
      <w:numFmt w:val="lowerRoman"/>
      <w:start w:val="5"/>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2019-12-29T06:18:25Z</dcterms:created>
  <dcterms:modified xsi:type="dcterms:W3CDTF">2019-12-29T06:18:25Z</dcterms:modified>
</cp:coreProperties>
</file>