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68580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95250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57"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2019</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8"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81280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ENANTA PHARMACEUTICALS,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77470</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580" w:type="dxa"/>
            <w:vAlign w:val="bottom"/>
          </w:tcPr>
          <w:p>
            <w:pPr>
              <w:jc w:val="center"/>
              <w:ind w:right="1697"/>
              <w:spacing w:after="0"/>
              <w:rPr>
                <w:sz w:val="20"/>
                <w:szCs w:val="20"/>
                <w:color w:val="auto"/>
              </w:rPr>
            </w:pPr>
            <w:r>
              <w:rPr>
                <w:rFonts w:ascii="Times New Roman" w:cs="Times New Roman" w:eastAsia="Times New Roman" w:hAnsi="Times New Roman"/>
                <w:sz w:val="14"/>
                <w:szCs w:val="14"/>
                <w:b w:val="1"/>
                <w:bCs w:val="1"/>
                <w:color w:val="auto"/>
                <w:w w:val="94"/>
              </w:rPr>
              <w:t>DELAWARE</w:t>
            </w:r>
          </w:p>
        </w:tc>
        <w:tc>
          <w:tcPr>
            <w:tcW w:w="248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w w:val="92"/>
              </w:rPr>
              <w:t>2834</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04-3205099</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80" w:type="dxa"/>
            <w:vAlign w:val="bottom"/>
            <w:gridSpan w:val="2"/>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40" w:type="dxa"/>
            <w:vAlign w:val="bottom"/>
          </w:tcPr>
          <w:p>
            <w:pPr>
              <w:spacing w:after="0"/>
              <w:rPr>
                <w:sz w:val="11"/>
                <w:szCs w:val="11"/>
                <w:color w:val="auto"/>
              </w:rPr>
            </w:pPr>
          </w:p>
        </w:tc>
        <w:tc>
          <w:tcPr>
            <w:tcW w:w="2360" w:type="dxa"/>
            <w:vAlign w:val="bottom"/>
            <w:gridSpan w:val="4"/>
          </w:tcPr>
          <w:p>
            <w:pPr>
              <w:jc w:val="center"/>
              <w:ind w:right="6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500" w:type="dxa"/>
            <w:vAlign w:val="bottom"/>
          </w:tcPr>
          <w:p>
            <w:pPr>
              <w:spacing w:after="0"/>
              <w:rPr>
                <w:sz w:val="11"/>
                <w:szCs w:val="11"/>
                <w:color w:val="auto"/>
              </w:rPr>
            </w:pPr>
          </w:p>
        </w:tc>
        <w:tc>
          <w:tcPr>
            <w:tcW w:w="3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8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40" w:type="dxa"/>
            <w:vAlign w:val="bottom"/>
          </w:tcPr>
          <w:p>
            <w:pPr>
              <w:spacing w:after="0"/>
              <w:rPr>
                <w:sz w:val="14"/>
                <w:szCs w:val="14"/>
                <w:color w:val="auto"/>
              </w:rPr>
            </w:pPr>
          </w:p>
        </w:tc>
        <w:tc>
          <w:tcPr>
            <w:tcW w:w="2360" w:type="dxa"/>
            <w:vAlign w:val="bottom"/>
            <w:gridSpan w:val="4"/>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500" w:type="dxa"/>
            <w:vAlign w:val="bottom"/>
          </w:tcPr>
          <w:p>
            <w:pPr>
              <w:spacing w:after="0"/>
              <w:rPr>
                <w:sz w:val="14"/>
                <w:szCs w:val="14"/>
                <w:color w:val="auto"/>
              </w:rPr>
            </w:pPr>
          </w:p>
        </w:tc>
        <w:tc>
          <w:tcPr>
            <w:tcW w:w="3560" w:type="dxa"/>
            <w:vAlign w:val="bottom"/>
            <w:gridSpan w:val="2"/>
          </w:tcPr>
          <w:p>
            <w:pPr>
              <w:ind w:left="1180"/>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500 Arsenal Street</w:t>
            </w:r>
          </w:p>
        </w:tc>
        <w:tc>
          <w:tcPr>
            <w:tcW w:w="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Watertown, Massachusetts 02472</w:t>
            </w:r>
          </w:p>
        </w:tc>
        <w:tc>
          <w:tcPr>
            <w:tcW w:w="5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jc w:val="center"/>
              <w:ind w:left="708"/>
              <w:spacing w:after="0"/>
              <w:rPr>
                <w:sz w:val="20"/>
                <w:szCs w:val="20"/>
                <w:color w:val="auto"/>
              </w:rPr>
            </w:pPr>
            <w:r>
              <w:rPr>
                <w:rFonts w:ascii="Times New Roman" w:cs="Times New Roman" w:eastAsia="Times New Roman" w:hAnsi="Times New Roman"/>
                <w:sz w:val="16"/>
                <w:szCs w:val="16"/>
                <w:b w:val="1"/>
                <w:bCs w:val="1"/>
                <w:color w:val="auto"/>
              </w:rPr>
              <w:t>(617) 607-0800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500" w:type="dxa"/>
            <w:vAlign w:val="bottom"/>
          </w:tcPr>
          <w:p>
            <w:pPr>
              <w:spacing w:after="0"/>
              <w:rPr>
                <w:sz w:val="14"/>
                <w:szCs w:val="14"/>
                <w:color w:val="auto"/>
              </w:rPr>
            </w:pPr>
          </w:p>
        </w:tc>
        <w:tc>
          <w:tcPr>
            <w:tcW w:w="9640" w:type="dxa"/>
            <w:vAlign w:val="bottom"/>
            <w:gridSpan w:val="9"/>
          </w:tcPr>
          <w:p>
            <w:pPr>
              <w:jc w:val="center"/>
              <w:ind w:right="1220"/>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center"/>
              <w:ind w:right="157"/>
              <w:spacing w:after="0"/>
              <w:rPr>
                <w:sz w:val="20"/>
                <w:szCs w:val="20"/>
                <w:color w:val="auto"/>
              </w:rPr>
            </w:pPr>
            <w:r>
              <w:rPr>
                <w:rFonts w:ascii="Times New Roman" w:cs="Times New Roman" w:eastAsia="Times New Roman" w:hAnsi="Times New Roman"/>
                <w:sz w:val="14"/>
                <w:szCs w:val="14"/>
                <w:color w:val="auto"/>
                <w:w w:val="96"/>
              </w:rPr>
              <w:t>Securities registered pursuant to Section 12(b) of the Act:</w:t>
            </w:r>
          </w:p>
        </w:tc>
        <w:tc>
          <w:tcPr>
            <w:tcW w:w="238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500" w:type="dxa"/>
            <w:vAlign w:val="bottom"/>
            <w:tcBorders>
              <w:right w:val="single" w:sz="8" w:color="auto"/>
            </w:tcBorders>
          </w:tcPr>
          <w:p>
            <w:pPr>
              <w:spacing w:after="0"/>
              <w:rPr>
                <w:sz w:val="15"/>
                <w:szCs w:val="15"/>
                <w:color w:val="auto"/>
              </w:rPr>
            </w:pPr>
          </w:p>
        </w:tc>
        <w:tc>
          <w:tcPr>
            <w:tcW w:w="2580" w:type="dxa"/>
            <w:vAlign w:val="bottom"/>
          </w:tcPr>
          <w:p>
            <w:pPr>
              <w:jc w:val="center"/>
              <w:ind w:left="537"/>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6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20" w:type="dxa"/>
            <w:vAlign w:val="bottom"/>
          </w:tcPr>
          <w:p>
            <w:pPr>
              <w:spacing w:after="0"/>
              <w:rPr>
                <w:sz w:val="15"/>
                <w:szCs w:val="15"/>
                <w:color w:val="auto"/>
              </w:rPr>
            </w:pPr>
          </w:p>
        </w:tc>
        <w:tc>
          <w:tcPr>
            <w:tcW w:w="2880" w:type="dxa"/>
            <w:vAlign w:val="bottom"/>
            <w:tcBorders>
              <w:right w:val="single" w:sz="8" w:color="auto"/>
            </w:tcBorders>
            <w:gridSpan w:val="2"/>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500" w:type="dxa"/>
            <w:vAlign w:val="bottom"/>
            <w:tcBorders>
              <w:right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500" w:type="dxa"/>
            <w:vAlign w:val="bottom"/>
            <w:tcBorders>
              <w:right w:val="single" w:sz="8" w:color="auto"/>
            </w:tcBorders>
          </w:tcPr>
          <w:p>
            <w:pPr>
              <w:spacing w:after="0"/>
              <w:rPr>
                <w:sz w:val="17"/>
                <w:szCs w:val="17"/>
                <w:color w:val="auto"/>
              </w:rPr>
            </w:pPr>
          </w:p>
        </w:tc>
        <w:tc>
          <w:tcPr>
            <w:tcW w:w="2580" w:type="dxa"/>
            <w:vAlign w:val="bottom"/>
          </w:tcPr>
          <w:p>
            <w:pPr>
              <w:jc w:val="center"/>
              <w:ind w:left="537"/>
              <w:spacing w:after="0"/>
              <w:rPr>
                <w:sz w:val="20"/>
                <w:szCs w:val="20"/>
                <w:color w:val="auto"/>
              </w:rPr>
            </w:pPr>
            <w:r>
              <w:rPr>
                <w:rFonts w:ascii="Times New Roman" w:cs="Times New Roman" w:eastAsia="Times New Roman" w:hAnsi="Times New Roman"/>
                <w:sz w:val="11"/>
                <w:szCs w:val="11"/>
                <w:color w:val="auto"/>
                <w:w w:val="98"/>
              </w:rPr>
              <w:t>Common Stock, par value $0.01 per share</w:t>
            </w:r>
          </w:p>
        </w:tc>
        <w:tc>
          <w:tcPr>
            <w:tcW w:w="6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5"/>
              </w:rPr>
              <w:t>ENTA</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80" w:type="dxa"/>
            <w:vAlign w:val="bottom"/>
            <w:tcBorders>
              <w:right w:val="single" w:sz="8" w:color="auto"/>
            </w:tcBorders>
          </w:tcPr>
          <w:p>
            <w:pPr>
              <w:jc w:val="center"/>
              <w:ind w:right="775"/>
              <w:spacing w:after="0"/>
              <w:rPr>
                <w:sz w:val="20"/>
                <w:szCs w:val="20"/>
                <w:color w:val="auto"/>
              </w:rPr>
            </w:pPr>
            <w:r>
              <w:rPr>
                <w:rFonts w:ascii="Times New Roman" w:cs="Times New Roman" w:eastAsia="Times New Roman" w:hAnsi="Times New Roman"/>
                <w:sz w:val="11"/>
                <w:szCs w:val="11"/>
                <w:color w:val="auto"/>
              </w:rPr>
              <w:t>NASDAQ</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500" w:type="dxa"/>
            <w:vAlign w:val="bottom"/>
            <w:tcBorders>
              <w:right w:val="single" w:sz="8" w:color="auto"/>
            </w:tcBorders>
          </w:tcPr>
          <w:p>
            <w:pPr>
              <w:spacing w:after="0"/>
              <w:rPr>
                <w:sz w:val="5"/>
                <w:szCs w:val="5"/>
                <w:color w:val="auto"/>
              </w:rPr>
            </w:pPr>
          </w:p>
        </w:tc>
        <w:tc>
          <w:tcPr>
            <w:tcW w:w="3220" w:type="dxa"/>
            <w:vAlign w:val="bottom"/>
            <w:tcBorders>
              <w:bottom w:val="single" w:sz="8" w:color="auto"/>
              <w:right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80" w:type="dxa"/>
            <w:vAlign w:val="bottom"/>
            <w:gridSpan w:val="7"/>
          </w:tcPr>
          <w:p>
            <w:pPr>
              <w:jc w:val="center"/>
              <w:ind w:left="2277"/>
              <w:spacing w:after="0"/>
              <w:rPr>
                <w:sz w:val="20"/>
                <w:szCs w:val="20"/>
                <w:color w:val="auto"/>
              </w:rPr>
            </w:pPr>
            <w:r>
              <w:rPr>
                <w:rFonts w:ascii="Times New Roman" w:cs="Times New Roman" w:eastAsia="Times New Roman" w:hAnsi="Times New Roman"/>
                <w:sz w:val="14"/>
                <w:szCs w:val="14"/>
                <w:b w:val="1"/>
                <w:bCs w:val="1"/>
                <w:color w:val="auto"/>
                <w:w w:val="96"/>
              </w:rPr>
              <w:t>Securities registered pursuant to Section 12(g) of the Act: None</w:t>
            </w:r>
          </w:p>
        </w:tc>
        <w:tc>
          <w:tcPr>
            <w:tcW w:w="2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880" w:type="dxa"/>
            <w:vAlign w:val="bottom"/>
            <w:gridSpan w:val="4"/>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520" w:type="dxa"/>
            <w:vAlign w:val="bottom"/>
            <w:gridSpan w:val="2"/>
          </w:tcPr>
          <w:p>
            <w:pPr>
              <w:spacing w:after="0"/>
              <w:rPr>
                <w:sz w:val="7"/>
                <w:szCs w:val="7"/>
                <w:color w:val="auto"/>
              </w:rPr>
            </w:pPr>
          </w:p>
        </w:tc>
        <w:tc>
          <w:tcPr>
            <w:tcW w:w="50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56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7080" w:type="dxa"/>
            <w:vAlign w:val="bottom"/>
            <w:gridSpan w:val="7"/>
          </w:tcPr>
          <w:p>
            <w:pPr>
              <w:ind w:left="600"/>
              <w:spacing w:after="0"/>
              <w:rPr>
                <w:sz w:val="20"/>
                <w:szCs w:val="20"/>
                <w:color w:val="auto"/>
              </w:rPr>
            </w:pPr>
            <w:r>
              <w:rPr>
                <w:rFonts w:ascii="Times New Roman" w:cs="Times New Roman" w:eastAsia="Times New Roman" w:hAnsi="Times New Roman"/>
                <w:sz w:val="14"/>
                <w:szCs w:val="14"/>
                <w:color w:val="auto"/>
                <w:w w:val="98"/>
              </w:rPr>
              <w:t>Indicate by check mark if the registrant is a well-known seasoned issuer, as defined in Rule 405 of the Securities Act.</w:t>
            </w:r>
          </w:p>
        </w:tc>
        <w:tc>
          <w:tcPr>
            <w:tcW w:w="500" w:type="dxa"/>
            <w:vAlign w:val="bottom"/>
            <w:vMerge w:val="continue"/>
          </w:tcPr>
          <w:p>
            <w:pPr>
              <w:spacing w:after="0"/>
              <w:rPr>
                <w:sz w:val="16"/>
                <w:szCs w:val="16"/>
                <w:color w:val="auto"/>
              </w:rPr>
            </w:pPr>
          </w:p>
        </w:tc>
        <w:tc>
          <w:tcPr>
            <w:tcW w:w="3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080" w:type="dxa"/>
            <w:vAlign w:val="bottom"/>
            <w:gridSpan w:val="7"/>
          </w:tcPr>
          <w:p>
            <w:pPr>
              <w:ind w:left="600"/>
              <w:spacing w:after="0"/>
              <w:rPr>
                <w:sz w:val="20"/>
                <w:szCs w:val="20"/>
                <w:color w:val="auto"/>
              </w:rPr>
            </w:pPr>
            <w:r>
              <w:rPr>
                <w:rFonts w:ascii="Times New Roman" w:cs="Times New Roman" w:eastAsia="Times New Roman" w:hAnsi="Times New Roman"/>
                <w:sz w:val="14"/>
                <w:szCs w:val="14"/>
                <w:color w:val="auto"/>
                <w:w w:val="96"/>
              </w:rPr>
              <w:t>Indicate by check mark if the registrant is not required to file reports pursuant to Section 13 or Section 15(d) of the Act.</w:t>
            </w:r>
          </w:p>
        </w:tc>
        <w:tc>
          <w:tcPr>
            <w:tcW w:w="50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w w:val="91"/>
              </w:rPr>
              <w:t xml:space="preserve">Yes </w:t>
            </w:r>
            <w:r>
              <w:rPr>
                <w:rFonts w:ascii="MS PGothic" w:cs="MS PGothic" w:eastAsia="MS PGothic" w:hAnsi="MS PGothic"/>
                <w:sz w:val="14"/>
                <w:szCs w:val="14"/>
                <w:color w:val="auto"/>
                <w:w w:val="91"/>
              </w:rPr>
              <w:t>☐</w:t>
            </w:r>
          </w:p>
        </w:tc>
        <w:tc>
          <w:tcPr>
            <w:tcW w:w="35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1400" w:type="dxa"/>
            <w:vAlign w:val="bottom"/>
            <w:gridSpan w:val="11"/>
          </w:tcPr>
          <w:p>
            <w:pPr>
              <w:ind w:left="600"/>
              <w:spacing w:after="0" w:line="135" w:lineRule="exact"/>
              <w:rPr>
                <w:sz w:val="20"/>
                <w:szCs w:val="20"/>
                <w:color w:val="auto"/>
              </w:rPr>
            </w:pPr>
            <w:r>
              <w:rPr>
                <w:rFonts w:ascii="Times New Roman" w:cs="Times New Roman" w:eastAsia="Times New Roman" w:hAnsi="Times New Roman"/>
                <w:sz w:val="14"/>
                <w:szCs w:val="14"/>
                <w:color w:val="auto"/>
                <w:w w:val="97"/>
              </w:rPr>
              <w:t>Indicate by check mark whether the registrant (1) has filed all reports required to be filed by Section 13 or 15(d) of the Securities Exchange Act of 1934 during the preceding 12 months (or for such</w:t>
            </w:r>
          </w:p>
        </w:tc>
        <w:tc>
          <w:tcPr>
            <w:tcW w:w="0" w:type="dxa"/>
            <w:vAlign w:val="bottom"/>
          </w:tcPr>
          <w:p>
            <w:pPr>
              <w:spacing w:after="0"/>
              <w:rPr>
                <w:sz w:val="1"/>
                <w:szCs w:val="1"/>
                <w:color w:val="auto"/>
              </w:rPr>
            </w:pPr>
          </w:p>
        </w:tc>
      </w:tr>
      <w:tr>
        <w:trPr>
          <w:trHeight w:val="203"/>
        </w:trPr>
        <w:tc>
          <w:tcPr>
            <w:tcW w:w="7580" w:type="dxa"/>
            <w:vAlign w:val="bottom"/>
            <w:gridSpan w:val="8"/>
          </w:tcPr>
          <w:p>
            <w:pPr>
              <w:spacing w:after="0"/>
              <w:rPr>
                <w:sz w:val="20"/>
                <w:szCs w:val="20"/>
                <w:color w:val="auto"/>
              </w:rPr>
            </w:pPr>
            <w:r>
              <w:rPr>
                <w:rFonts w:ascii="Times New Roman" w:cs="Times New Roman" w:eastAsia="Times New Roman" w:hAnsi="Times New Roman"/>
                <w:sz w:val="14"/>
                <w:szCs w:val="14"/>
                <w:color w:val="auto"/>
                <w:w w:val="96"/>
              </w:rPr>
              <w:t>shorter period that the registrant was required to file such reports), and (2) has been subject to such filing requirements for the past 90 days:</w:t>
            </w:r>
          </w:p>
        </w:tc>
        <w:tc>
          <w:tcPr>
            <w:tcW w:w="356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1140" w:type="dxa"/>
            <w:vAlign w:val="bottom"/>
            <w:gridSpan w:val="10"/>
          </w:tcPr>
          <w:p>
            <w:pPr>
              <w:ind w:left="600"/>
              <w:spacing w:after="0" w:line="135" w:lineRule="exact"/>
              <w:rPr>
                <w:sz w:val="20"/>
                <w:szCs w:val="20"/>
                <w:color w:val="auto"/>
              </w:rPr>
            </w:pPr>
            <w:r>
              <w:rPr>
                <w:rFonts w:ascii="Times New Roman" w:cs="Times New Roman" w:eastAsia="Times New Roman" w:hAnsi="Times New Roman"/>
                <w:sz w:val="14"/>
                <w:szCs w:val="14"/>
                <w:color w:val="auto"/>
                <w:w w:val="96"/>
              </w:rPr>
              <w:t>Indicate by check mark whether the registrant has submitted electronically every Interactive Data File required to be submitted pursuant to Rule 405 of Regulation S-T (§ 232.405 of this chapter)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08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w w:val="99"/>
              </w:rPr>
              <w:t xml:space="preserve">during the preceding 12 months (or for such shorter period that the registrant was required to submit such files):  Yes </w:t>
            </w:r>
            <w:r>
              <w:rPr>
                <w:rFonts w:ascii="MS PGothic" w:cs="MS PGothic" w:eastAsia="MS PGothic" w:hAnsi="MS PGothic"/>
                <w:sz w:val="14"/>
                <w:szCs w:val="14"/>
                <w:color w:val="auto"/>
                <w:w w:val="99"/>
              </w:rPr>
              <w:t>☒</w:t>
            </w:r>
            <w:r>
              <w:rPr>
                <w:rFonts w:ascii="Times New Roman" w:cs="Times New Roman" w:eastAsia="Times New Roman" w:hAnsi="Times New Roman"/>
                <w:sz w:val="14"/>
                <w:szCs w:val="14"/>
                <w:color w:val="auto"/>
                <w:w w:val="99"/>
              </w:rPr>
              <w:t xml:space="preserve"> No </w:t>
            </w:r>
            <w:r>
              <w:rPr>
                <w:rFonts w:ascii="MS PGothic" w:cs="MS PGothic" w:eastAsia="MS PGothic" w:hAnsi="MS PGothic"/>
                <w:sz w:val="14"/>
                <w:szCs w:val="14"/>
                <w:color w:val="auto"/>
                <w:w w:val="99"/>
              </w:rPr>
              <w:t>☐</w:t>
            </w:r>
          </w:p>
        </w:tc>
        <w:tc>
          <w:tcPr>
            <w:tcW w:w="5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400" w:type="dxa"/>
            <w:vAlign w:val="bottom"/>
            <w:gridSpan w:val="11"/>
          </w:tcPr>
          <w:p>
            <w:pPr>
              <w:ind w:left="600"/>
              <w:spacing w:after="0" w:line="149" w:lineRule="exact"/>
              <w:rPr>
                <w:sz w:val="20"/>
                <w:szCs w:val="20"/>
                <w:color w:val="auto"/>
              </w:rPr>
            </w:pPr>
            <w:r>
              <w:rPr>
                <w:rFonts w:ascii="Times New Roman" w:cs="Times New Roman" w:eastAsia="Times New Roman" w:hAnsi="Times New Roman"/>
                <w:sz w:val="14"/>
                <w:szCs w:val="14"/>
                <w:color w:val="auto"/>
                <w:w w:val="95"/>
              </w:rPr>
              <w:t>Indicate by check mark whether the registrant is a large accelerated filer, an accelerated filer, a non-accelerated filer, smaller reporting company, or an emerging growth company. See the definitions of</w:t>
            </w:r>
          </w:p>
        </w:tc>
        <w:tc>
          <w:tcPr>
            <w:tcW w:w="0" w:type="dxa"/>
            <w:vAlign w:val="bottom"/>
          </w:tcPr>
          <w:p>
            <w:pPr>
              <w:spacing w:after="0"/>
              <w:rPr>
                <w:sz w:val="1"/>
                <w:szCs w:val="1"/>
                <w:color w:val="auto"/>
              </w:rPr>
            </w:pPr>
          </w:p>
        </w:tc>
      </w:tr>
      <w:tr>
        <w:trPr>
          <w:trHeight w:val="166"/>
        </w:trPr>
        <w:tc>
          <w:tcPr>
            <w:tcW w:w="111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“large accelerated filer,” “accelerated filer,” “smaller reporting company,” and “emerging growth company” in Rule 12b-2 of the Exchange Act: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6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1"/>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6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8" w:lineRule="exact"/>
        <w:rPr>
          <w:sz w:val="24"/>
          <w:szCs w:val="24"/>
          <w:color w:val="auto"/>
        </w:rPr>
      </w:pPr>
    </w:p>
    <w:p>
      <w:pPr>
        <w:ind w:right="240" w:firstLine="598"/>
        <w:spacing w:after="0" w:line="16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6860" w:val="left"/>
          <w:tab w:leader="none" w:pos="73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9" w:lineRule="exact"/>
        <w:rPr>
          <w:sz w:val="24"/>
          <w:szCs w:val="24"/>
          <w:color w:val="auto"/>
        </w:rPr>
      </w:pPr>
    </w:p>
    <w:p>
      <w:pPr>
        <w:jc w:val="both"/>
        <w:ind w:right="80" w:firstLine="598"/>
        <w:spacing w:after="0" w:line="234"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as of the last business day of the registrant’s most recently completed second fiscal quarter, March 31, 2019, based on the last reported sale price of the registrant’s common stock of $95.52 per share was $1,407,874,725. The number of shares of the registrant’s Common Stock, $0.01 par value, outstanding as of November 1, 2019 was 19,725,505 shares.</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firstLine="598"/>
        <w:spacing w:after="0" w:line="24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2020 Annual Meeting of Stockholders scheduled to be held on February 26, 2020, which Definitive Proxy will be filed with the Securities and Exchange Commission not later than 120 days after the registrant’s fiscal year end of September 30, 2019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107315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sectPr>
      </w:pPr>
    </w:p>
    <w:bookmarkStart w:id="1" w:name="page2"/>
    <w:bookmarkEnd w:id="1"/>
    <w:p>
      <w:pPr>
        <w:ind w:right="20"/>
        <w:spacing w:after="0" w:line="266" w:lineRule="auto"/>
        <w:rPr>
          <w:sz w:val="20"/>
          <w:szCs w:val="20"/>
          <w:color w:val="auto"/>
        </w:rPr>
      </w:pPr>
      <w:r>
        <w:rPr>
          <w:rFonts w:ascii="Times New Roman" w:cs="Times New Roman" w:eastAsia="Times New Roman" w:hAnsi="Times New Roman"/>
          <w:sz w:val="18"/>
          <w:szCs w:val="18"/>
          <w:color w:val="auto"/>
        </w:rPr>
        <w:t>As used in this Form 10-K, “Enanta,” “the Company,” “we,” “our,” and “us” refer to Enanta Pharmaceuticals, Inc., and “MAVYRET/MAVIRET” refers to AbbVie’s HCV regimen consisting of tablets of glecaprevir/pibrentasvir, except where the context otherwise requires or as otherwise indicated. MAVYRET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MAVIRET™, VIEKIRA PAK™, TECHNIVIE™, VIEKIRAX™, VIEKIRA XR™ and, EXVIERA™ are trademarks of AbbVie, Inc.</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6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ENANTA PHARMACEUTICALS, INC.</w:t>
            </w:r>
          </w:p>
        </w:tc>
        <w:tc>
          <w:tcPr>
            <w:tcW w:w="58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6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 the year ended September 30, 2019</w:t>
            </w:r>
          </w:p>
        </w:tc>
        <w:tc>
          <w:tcPr>
            <w:tcW w:w="58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jc w:val="center"/>
              <w:ind w:right="46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80" w:type="dxa"/>
            <w:vAlign w:val="bottom"/>
          </w:tcPr>
          <w:p>
            <w:pPr>
              <w:spacing w:after="0"/>
              <w:rPr>
                <w:sz w:val="24"/>
                <w:szCs w:val="24"/>
                <w:color w:val="auto"/>
              </w:rPr>
            </w:pPr>
          </w:p>
        </w:tc>
      </w:tr>
      <w:tr>
        <w:trPr>
          <w:trHeight w:val="365"/>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color w:val="auto"/>
                <w:w w:val="91"/>
              </w:rPr>
              <w:t>PART I</w:t>
            </w:r>
          </w:p>
        </w:tc>
        <w:tc>
          <w:tcPr>
            <w:tcW w:w="580" w:type="dxa"/>
            <w:vAlign w:val="bottom"/>
          </w:tcPr>
          <w:p>
            <w:pPr>
              <w:spacing w:after="0"/>
              <w:rPr>
                <w:sz w:val="24"/>
                <w:szCs w:val="24"/>
                <w:color w:val="auto"/>
              </w:rPr>
            </w:pPr>
          </w:p>
        </w:tc>
      </w:tr>
      <w:tr>
        <w:trPr>
          <w:trHeight w:val="194"/>
        </w:trPr>
        <w:tc>
          <w:tcPr>
            <w:tcW w:w="7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9960" w:type="dxa"/>
            <w:vAlign w:val="bottom"/>
            <w:gridSpan w:val="21"/>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12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Risk Factors</w:t>
              </w:r>
            </w:hyperlink>
          </w:p>
        </w:tc>
        <w:tc>
          <w:tcPr>
            <w:tcW w:w="9040" w:type="dxa"/>
            <w:vAlign w:val="bottom"/>
            <w:gridSpan w:val="1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1B.</w:t>
            </w:r>
          </w:p>
        </w:tc>
        <w:tc>
          <w:tcPr>
            <w:tcW w:w="12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Unresolved Staff Comments</w:t>
              </w:r>
            </w:hyperlink>
          </w:p>
        </w:tc>
        <w:tc>
          <w:tcPr>
            <w:tcW w:w="790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6">
              <w:r>
                <w:rPr>
                  <w:rFonts w:ascii="Times New Roman" w:cs="Times New Roman" w:eastAsia="Times New Roman" w:hAnsi="Times New Roman"/>
                  <w:sz w:val="18"/>
                  <w:szCs w:val="18"/>
                  <w:color w:val="0000EE"/>
                  <w:w w:val="98"/>
                </w:rPr>
                <w:t>Properties</w:t>
              </w:r>
            </w:hyperlink>
          </w:p>
        </w:tc>
        <w:tc>
          <w:tcPr>
            <w:tcW w:w="9220" w:type="dxa"/>
            <w:vAlign w:val="bottom"/>
            <w:gridSpan w:val="1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7"/>
                <w:szCs w:val="17"/>
                <w:color w:val="auto"/>
              </w:rPr>
            </w:pPr>
          </w:p>
        </w:tc>
        <w:tc>
          <w:tcPr>
            <w:tcW w:w="9960" w:type="dxa"/>
            <w:vAlign w:val="bottom"/>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Legal Proceedings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9960" w:type="dxa"/>
            <w:vAlign w:val="bottom"/>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Mine Safety Disclosures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43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color w:val="auto"/>
                <w:w w:val="95"/>
              </w:rPr>
              <w:t>PART II</w:t>
            </w:r>
          </w:p>
        </w:tc>
        <w:tc>
          <w:tcPr>
            <w:tcW w:w="580" w:type="dxa"/>
            <w:vAlign w:val="bottom"/>
          </w:tcPr>
          <w:p>
            <w:pPr>
              <w:spacing w:after="0"/>
              <w:rPr>
                <w:sz w:val="24"/>
                <w:szCs w:val="24"/>
                <w:color w:val="auto"/>
              </w:rPr>
            </w:pPr>
          </w:p>
        </w:tc>
      </w:tr>
      <w:tr>
        <w:trPr>
          <w:trHeight w:val="194"/>
        </w:trPr>
        <w:tc>
          <w:tcPr>
            <w:tcW w:w="7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9960" w:type="dxa"/>
            <w:vAlign w:val="bottom"/>
            <w:gridSpan w:val="21"/>
          </w:tcPr>
          <w:p>
            <w:pPr>
              <w:spacing w:after="0" w:line="194"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Market for the Company’s Common Equity, Related Stockholder Matters and Issuer Purchases of Equity Securities</w:t>
              </w:r>
            </w:hyperlink>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Selected Consolidated Financial Data</w:t>
              </w:r>
            </w:hyperlink>
          </w:p>
        </w:tc>
        <w:tc>
          <w:tcPr>
            <w:tcW w:w="5580" w:type="dxa"/>
            <w:vAlign w:val="bottom"/>
            <w:tcBorders>
              <w:top w:val="single" w:sz="8" w:color="0000EE"/>
            </w:tcBorders>
            <w:gridSpan w:val="10"/>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7"/>
                <w:szCs w:val="17"/>
                <w:color w:val="auto"/>
              </w:rPr>
            </w:pPr>
          </w:p>
        </w:tc>
        <w:tc>
          <w:tcPr>
            <w:tcW w:w="9960" w:type="dxa"/>
            <w:vAlign w:val="bottom"/>
            <w:gridSpan w:val="21"/>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7A.</w:t>
            </w: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50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7"/>
                <w:szCs w:val="17"/>
                <w:color w:val="auto"/>
              </w:rPr>
            </w:pPr>
          </w:p>
        </w:tc>
        <w:tc>
          <w:tcPr>
            <w:tcW w:w="4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Consolidated Financial Statements and Supplementary Data</w:t>
              </w:r>
            </w:hyperlink>
          </w:p>
        </w:tc>
        <w:tc>
          <w:tcPr>
            <w:tcW w:w="562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7"/>
                <w:szCs w:val="17"/>
                <w:color w:val="auto"/>
              </w:rPr>
            </w:pPr>
          </w:p>
        </w:tc>
        <w:tc>
          <w:tcPr>
            <w:tcW w:w="9960" w:type="dxa"/>
            <w:vAlign w:val="bottom"/>
            <w:gridSpan w:val="21"/>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9A.</w:t>
            </w: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1"/>
          </w:tcPr>
          <w:p>
            <w:pPr>
              <w:spacing w:after="0"/>
              <w:rPr>
                <w:sz w:val="17"/>
                <w:szCs w:val="17"/>
                <w:color w:val="auto"/>
              </w:rPr>
            </w:pPr>
          </w:p>
        </w:tc>
        <w:tc>
          <w:tcPr>
            <w:tcW w:w="34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9B.</w:t>
            </w:r>
          </w:p>
        </w:tc>
        <w:tc>
          <w:tcPr>
            <w:tcW w:w="120" w:type="dxa"/>
            <w:vAlign w:val="bottom"/>
          </w:tcPr>
          <w:p>
            <w:pPr>
              <w:spacing w:after="0"/>
              <w:rPr>
                <w:sz w:val="17"/>
                <w:szCs w:val="17"/>
                <w:color w:val="auto"/>
              </w:rPr>
            </w:pPr>
          </w:p>
        </w:tc>
        <w:tc>
          <w:tcPr>
            <w:tcW w:w="9960" w:type="dxa"/>
            <w:vAlign w:val="bottom"/>
            <w:gridSpan w:val="21"/>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Other Information</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43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color w:val="auto"/>
                <w:w w:val="93"/>
              </w:rPr>
              <w:t>PART III</w:t>
            </w:r>
          </w:p>
        </w:tc>
        <w:tc>
          <w:tcPr>
            <w:tcW w:w="580" w:type="dxa"/>
            <w:vAlign w:val="bottom"/>
          </w:tcPr>
          <w:p>
            <w:pPr>
              <w:spacing w:after="0"/>
              <w:rPr>
                <w:sz w:val="24"/>
                <w:szCs w:val="24"/>
                <w:color w:val="auto"/>
              </w:rPr>
            </w:pPr>
          </w:p>
        </w:tc>
      </w:tr>
      <w:tr>
        <w:trPr>
          <w:trHeight w:val="194"/>
        </w:trPr>
        <w:tc>
          <w:tcPr>
            <w:tcW w:w="7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6"/>
                <w:szCs w:val="16"/>
                <w:color w:val="auto"/>
              </w:rPr>
            </w:pPr>
          </w:p>
        </w:tc>
        <w:tc>
          <w:tcPr>
            <w:tcW w:w="9960" w:type="dxa"/>
            <w:vAlign w:val="bottom"/>
            <w:gridSpan w:val="21"/>
          </w:tcPr>
          <w:p>
            <w:pPr>
              <w:spacing w:after="0" w:line="194"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Directors, Executive Officers and Corporate Governance</w:t>
              </w:r>
            </w:hyperlink>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86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7"/>
                <w:szCs w:val="17"/>
                <w:color w:val="auto"/>
              </w:rPr>
            </w:pPr>
          </w:p>
        </w:tc>
        <w:tc>
          <w:tcPr>
            <w:tcW w:w="7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66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7"/>
                <w:szCs w:val="17"/>
                <w:color w:val="auto"/>
              </w:rPr>
            </w:pPr>
          </w:p>
        </w:tc>
        <w:tc>
          <w:tcPr>
            <w:tcW w:w="5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Certain Relationships and Related Transactions, and Director Independence</w:t>
              </w:r>
            </w:hyperlink>
          </w:p>
        </w:tc>
        <w:tc>
          <w:tcPr>
            <w:tcW w:w="450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7"/>
                <w:szCs w:val="17"/>
                <w:color w:val="auto"/>
              </w:rPr>
            </w:pPr>
          </w:p>
        </w:tc>
        <w:tc>
          <w:tcPr>
            <w:tcW w:w="9960" w:type="dxa"/>
            <w:vAlign w:val="bottom"/>
            <w:gridSpan w:val="21"/>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Principal Accounting Fees and Services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43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color w:val="auto"/>
                <w:w w:val="94"/>
              </w:rPr>
              <w:t>PART IV</w:t>
            </w:r>
          </w:p>
        </w:tc>
        <w:tc>
          <w:tcPr>
            <w:tcW w:w="580" w:type="dxa"/>
            <w:vAlign w:val="bottom"/>
          </w:tcPr>
          <w:p>
            <w:pPr>
              <w:spacing w:after="0"/>
              <w:rPr>
                <w:sz w:val="24"/>
                <w:szCs w:val="24"/>
                <w:color w:val="auto"/>
              </w:rPr>
            </w:pPr>
          </w:p>
        </w:tc>
      </w:tr>
      <w:tr>
        <w:trPr>
          <w:trHeight w:val="194"/>
        </w:trPr>
        <w:tc>
          <w:tcPr>
            <w:tcW w:w="7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6"/>
                <w:szCs w:val="16"/>
                <w:color w:val="auto"/>
              </w:rPr>
            </w:pPr>
          </w:p>
        </w:tc>
        <w:tc>
          <w:tcPr>
            <w:tcW w:w="9960" w:type="dxa"/>
            <w:vAlign w:val="bottom"/>
            <w:gridSpan w:val="21"/>
          </w:tcPr>
          <w:p>
            <w:pPr>
              <w:spacing w:after="0" w:line="194"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Exhibits, Financial Statement Schedules</w:t>
              </w:r>
            </w:hyperlink>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72</w:t>
            </w:r>
          </w:p>
        </w:tc>
      </w:tr>
      <w:tr>
        <w:trPr>
          <w:trHeight w:val="210"/>
        </w:trPr>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7060" w:type="dxa"/>
            <w:vAlign w:val="bottom"/>
            <w:gridSpan w:val="9"/>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gridSpan w:val="21"/>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Signatures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379"/>
        </w:trPr>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protease inhibitor discovered and developed through our collaboration with AbbVie for the treatment of chronic hepatitis C virus, or HCV. Glecaprevir is co-formulated as part of AbbVie’s leading direct-acting antiviral (DAA) combination treatment for HCV, which is marketed under the tradenames MAVYRET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(U.S.) and MAVIRET™ (ex-U.S.) (glecaprevir/pibrentasvir). Our royalties from our AbbVie collaboration and our existing financial resources provide us funding to support our wholly-owned research and development programs, which are primarily focused on the following disease targets with the following compounds in clinical development:</w:t>
      </w:r>
    </w:p>
    <w:p>
      <w:pPr>
        <w:spacing w:after="0" w:line="80" w:lineRule="exact"/>
        <w:rPr>
          <w:sz w:val="20"/>
          <w:szCs w:val="20"/>
          <w:color w:val="auto"/>
        </w:rPr>
      </w:pPr>
    </w:p>
    <w:p>
      <w:pPr>
        <w:ind w:left="1200" w:right="120" w:hanging="598"/>
        <w:spacing w:after="0" w:line="261"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EDP-938, for respiratory syncytial virus, or RSV, infection,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71" w:lineRule="exact"/>
        <w:rPr>
          <w:rFonts w:ascii="Times New Roman" w:cs="Times New Roman" w:eastAsia="Times New Roman" w:hAnsi="Times New Roman"/>
          <w:sz w:val="18"/>
          <w:szCs w:val="18"/>
          <w:color w:val="auto"/>
        </w:rPr>
      </w:pPr>
    </w:p>
    <w:p>
      <w:pPr>
        <w:ind w:left="1200" w:right="60" w:hanging="598"/>
        <w:spacing w:after="0" w:line="282"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EDP-305, for non-alcoholic steatohepatitis, or NASH, a liver disease estimated to affect approximately 1.5% to 6.5% of the population in the developed world (which translates to approximately 5 to 20 million individuals in the U.S. alone); and</w:t>
      </w:r>
    </w:p>
    <w:p>
      <w:pPr>
        <w:spacing w:after="0" w:line="53" w:lineRule="exact"/>
        <w:rPr>
          <w:rFonts w:ascii="Times New Roman" w:cs="Times New Roman" w:eastAsia="Times New Roman" w:hAnsi="Times New Roman"/>
          <w:sz w:val="18"/>
          <w:szCs w:val="18"/>
          <w:color w:val="auto"/>
        </w:rPr>
      </w:pPr>
    </w:p>
    <w:p>
      <w:pPr>
        <w:ind w:left="1200" w:right="700" w:hanging="598"/>
        <w:spacing w:after="0" w:line="282"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EDP-514, for hepatitis B virus, or HBV, the most prevalent chronic hepatitis, which is estimated to affect approximately 250 million individuals worldwide.</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had approximately $400 million in cash, cash equivalents and short-term and long-term marketable securities at September 30, 2019. In fiscal 2019, we earned $205.2 million in product royalties on AbbVie’s net sales of its HCV regimens. We expect our existing financial resources and cash flows from continuing AbbVie royalties will allow us to continue to fund our wholly-owned research and development programs for the foreseeable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wholly-owned research and development programs are in virology, namely RSV and HBV, and in liver disease (non-virology), namely NASH and PBC:</w:t>
      </w:r>
    </w:p>
    <w:p>
      <w:pPr>
        <w:spacing w:after="0" w:line="117" w:lineRule="exact"/>
        <w:rPr>
          <w:sz w:val="20"/>
          <w:szCs w:val="20"/>
          <w:color w:val="auto"/>
        </w:rPr>
      </w:pPr>
    </w:p>
    <w:p>
      <w:pPr>
        <w:ind w:left="1200" w:hanging="598"/>
        <w:spacing w:after="0" w:line="266"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discovered EDP-938, a potent N-protein inhibitor of activity of both major subgroups of RSV, referred to as RSV-A and RSV-B, and have tested it as our first clinical candidate for RSV. EDP-938, which has been granted Fast Track designation by the U.S. Food and Drug Administration (FDA), is the only N-protein inhibitor in clinical development.</w:t>
      </w:r>
    </w:p>
    <w:p>
      <w:pPr>
        <w:spacing w:after="0" w:line="53" w:lineRule="exact"/>
        <w:rPr>
          <w:rFonts w:ascii="Times New Roman" w:cs="Times New Roman" w:eastAsia="Times New Roman" w:hAnsi="Times New Roman"/>
          <w:sz w:val="18"/>
          <w:szCs w:val="18"/>
          <w:color w:val="auto"/>
        </w:rPr>
      </w:pPr>
    </w:p>
    <w:p>
      <w:pPr>
        <w:ind w:left="1800" w:right="60" w:hanging="594"/>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In June 2019, we announced positive topline results from our Phase 2a human challenge study of EDP-938 in healthy adults infected with a specific strain of RSV.</w:t>
      </w:r>
    </w:p>
    <w:p>
      <w:pPr>
        <w:spacing w:after="0" w:line="53" w:lineRule="exact"/>
        <w:rPr>
          <w:rFonts w:ascii="Times New Roman" w:cs="Times New Roman" w:eastAsia="Times New Roman" w:hAnsi="Times New Roman"/>
          <w:sz w:val="18"/>
          <w:szCs w:val="18"/>
          <w:color w:val="auto"/>
        </w:rPr>
      </w:pPr>
    </w:p>
    <w:p>
      <w:pPr>
        <w:ind w:left="1800" w:right="20" w:hanging="594"/>
        <w:spacing w:after="0" w:line="254"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 xml:space="preserve">Data from this study demonstrated that EDP-938 achieved a highly statistically significant reduction (p=&lt;0.001) both in viral load and in resolution of clinical symptoms compared to placebo. In addition, the study showed that mean trough levels of drug achieved in study subjects were 20-40x higher than the amount of EDP-938 that has been shown in previously reported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to reduce 90% of the viral RNA in RSV-infected human cells. During October 2019 as part of IDWeek</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the Company presented additional results of the RSV quantitative viral culture assay (Log10 plaque forming units/mL) which demonstrated highly statistically significant (p&lt;0.001) reductions in RSV viral load area under the curve (AUC) of 82.53% and 77.43%, in the QD (once a day) and BID (twice a day) arms, respectively, compared to the placebo arm and without a significant difference between the dosing groups. Additionally, there were highly statistically significant reductions (p&lt;0.001) in RSV-associated nasal mucus production (mucus weight) of 72.06% and 77.67% in the QD and BID arms, respectively, compared to placebo and without a significant difference between the dosing groups.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 w:name="page5"/>
    <w:bookmarkEnd w:id="4"/>
    <w:p>
      <w:pPr>
        <w:ind w:left="1198" w:right="180" w:hanging="603"/>
        <w:spacing w:after="0" w:line="257" w:lineRule="auto"/>
        <w:tabs>
          <w:tab w:leader="none" w:pos="1198"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Overall, EDP-938 was generally well tolerated in the study and demonstrated a favorable safety profile that was comparable to placebo over 5 days of dosing through Day 28 of follow-up. There were no serious adverse events and no discontinuations of EDP-938.</w:t>
      </w:r>
    </w:p>
    <w:p>
      <w:pPr>
        <w:spacing w:after="0" w:line="75" w:lineRule="exact"/>
        <w:rPr>
          <w:rFonts w:ascii="Courier New" w:cs="Courier New" w:eastAsia="Courier New" w:hAnsi="Courier New"/>
          <w:sz w:val="18"/>
          <w:szCs w:val="18"/>
          <w:color w:val="auto"/>
        </w:rPr>
      </w:pPr>
    </w:p>
    <w:p>
      <w:pPr>
        <w:ind w:left="1198" w:hanging="603"/>
        <w:spacing w:after="0" w:line="253" w:lineRule="auto"/>
        <w:tabs>
          <w:tab w:leader="none" w:pos="1198"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November 2019, we initiated our first Phase 2b study of EDP-938, which is in adult outpatients with community-acquired RSV infection. This study, named RSVP, is designed to help us better understand the feasibility of this direct-acting antiviral (DAA) therapy. At the same time, we are preparing to conduct further studies in targeted patient populations such as the immune-compromised, the elderly and pediatric populations. If we are able to complete the RSVP study in one RSV season in North America, topline data could be announced in the third quarter of calendar 2020.</w:t>
      </w:r>
    </w:p>
    <w:p>
      <w:pPr>
        <w:spacing w:after="0" w:line="81" w:lineRule="exact"/>
        <w:rPr>
          <w:rFonts w:ascii="Courier New" w:cs="Courier New" w:eastAsia="Courier New" w:hAnsi="Courier New"/>
          <w:sz w:val="18"/>
          <w:szCs w:val="18"/>
          <w:color w:val="auto"/>
        </w:rPr>
      </w:pPr>
    </w:p>
    <w:p>
      <w:pPr>
        <w:ind w:left="1198" w:right="120" w:hanging="603"/>
        <w:spacing w:after="0" w:line="264" w:lineRule="auto"/>
        <w:tabs>
          <w:tab w:leader="none" w:pos="1198"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We believe EDP-938 is differentiated from fusion inhibitors currently in development for RSV because N-protein inhibitors directly target the viral replication process of RSV and have demonstrated high barriers to resistance against RSV </w:t>
      </w:r>
      <w:r>
        <w:rPr>
          <w:rFonts w:ascii="Times New Roman" w:cs="Times New Roman" w:eastAsia="Times New Roman" w:hAnsi="Times New Roman"/>
          <w:sz w:val="18"/>
          <w:szCs w:val="18"/>
          <w:i w:val="1"/>
          <w:iCs w:val="1"/>
          <w:color w:val="auto"/>
        </w:rPr>
        <w:t>in vitro.</w:t>
      </w:r>
    </w:p>
    <w:p>
      <w:pPr>
        <w:spacing w:after="0" w:line="95" w:lineRule="exact"/>
        <w:rPr>
          <w:rFonts w:ascii="Courier New" w:cs="Courier New" w:eastAsia="Courier New" w:hAnsi="Courier New"/>
          <w:sz w:val="18"/>
          <w:szCs w:val="18"/>
          <w:color w:val="auto"/>
        </w:rPr>
      </w:pPr>
    </w:p>
    <w:p>
      <w:pPr>
        <w:ind w:left="598" w:right="120" w:hanging="598"/>
        <w:spacing w:after="0" w:line="256" w:lineRule="auto"/>
        <w:tabs>
          <w:tab w:leader="none" w:pos="5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NASH:</w:t>
      </w:r>
      <w:r>
        <w:rPr>
          <w:rFonts w:ascii="Times New Roman" w:cs="Times New Roman" w:eastAsia="Times New Roman" w:hAnsi="Times New Roman"/>
          <w:sz w:val="18"/>
          <w:szCs w:val="18"/>
          <w:color w:val="auto"/>
        </w:rPr>
        <w:t xml:space="preserve"> We are working on compounds, referred to as FXR agonists, that selectively bind to and activate the farnesoid X receptor, or FXR. FXR agonists have shown efficacy in NASH and we believe that this mechanism has promise as an important component in potential combination therapies for NASH. We have EDP-305 ready for a Phase 2b study and we have identified a follow-on compound, EDP-297, to initiate clinical development in mid-calendar 2020. We plan to develop at least one of these compounds primarily for use in combination treatments of NASH, a liver disease with very few therapeutic options. Our lead FXR agonist, EDP-305, represents a class of FXR agonists designed to take advantage of increased binding interactions with this receptor.</w:t>
      </w:r>
    </w:p>
    <w:p>
      <w:pPr>
        <w:spacing w:after="0" w:line="79" w:lineRule="exact"/>
        <w:rPr>
          <w:rFonts w:ascii="Times New Roman" w:cs="Times New Roman" w:eastAsia="Times New Roman" w:hAnsi="Times New Roman"/>
          <w:sz w:val="18"/>
          <w:szCs w:val="18"/>
          <w:color w:val="auto"/>
        </w:rPr>
      </w:pPr>
    </w:p>
    <w:p>
      <w:pPr>
        <w:ind w:left="1198" w:hanging="603"/>
        <w:spacing w:after="0"/>
        <w:tabs>
          <w:tab w:leader="none" w:pos="1198"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September 2019, we announced results of our ARGON-1 study, a 12-week, randomized, double-blind, placebo-controlled Phase</w:t>
      </w:r>
    </w:p>
    <w:p>
      <w:pPr>
        <w:spacing w:after="0" w:line="13" w:lineRule="exact"/>
        <w:rPr>
          <w:rFonts w:ascii="Courier New" w:cs="Courier New" w:eastAsia="Courier New" w:hAnsi="Courier New"/>
          <w:sz w:val="18"/>
          <w:szCs w:val="18"/>
          <w:color w:val="auto"/>
        </w:rPr>
      </w:pPr>
    </w:p>
    <w:p>
      <w:pPr>
        <w:ind w:left="1198" w:right="20"/>
        <w:spacing w:after="0" w:line="253"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2a study evaluating the safety, tolerability, pharmacokinetics and efficacy of EDP-305 in a NASH population. The primary objectives of the study were to evaluate change in ALT levels at week 12 and to evaluate the safety and tolerability of EDP-305. Key secondary objectives included change in liver fat content by MRI-PDFF, change in lipids, and pharmacokinetics and pharmacodynamic parameters, including C4 and FGF19.</w:t>
      </w:r>
    </w:p>
    <w:p>
      <w:pPr>
        <w:spacing w:after="0" w:line="79" w:lineRule="exact"/>
        <w:rPr>
          <w:rFonts w:ascii="Courier New" w:cs="Courier New" w:eastAsia="Courier New" w:hAnsi="Courier New"/>
          <w:sz w:val="18"/>
          <w:szCs w:val="18"/>
          <w:color w:val="auto"/>
        </w:rPr>
      </w:pPr>
    </w:p>
    <w:p>
      <w:pPr>
        <w:ind w:left="2358" w:right="160" w:hanging="440"/>
        <w:spacing w:after="0" w:line="261" w:lineRule="auto"/>
        <w:tabs>
          <w:tab w:leader="none" w:pos="235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study’s primary endpoint was achieved with a statistically significant ALT reduction of 28 U/L in the EDP-305 2.5mg arm versus 15 U/L in the placebo arm at week 12 (p=0.049). There was also a statistically significant reduction in liver fat content with EDP-305 at the 2.5mg dose as measured by MRI-PDFF (p&lt;0.001). The 1.0 mg arm showed non-statistically-significant numerical trends in reduction of these biomarkers.</w:t>
      </w:r>
    </w:p>
    <w:p>
      <w:pPr>
        <w:spacing w:after="0" w:line="71" w:lineRule="exact"/>
        <w:rPr>
          <w:rFonts w:ascii="Times New Roman" w:cs="Times New Roman" w:eastAsia="Times New Roman" w:hAnsi="Times New Roman"/>
          <w:sz w:val="18"/>
          <w:szCs w:val="18"/>
          <w:color w:val="auto"/>
        </w:rPr>
      </w:pPr>
    </w:p>
    <w:p>
      <w:pPr>
        <w:ind w:left="2358" w:right="360" w:hanging="440"/>
        <w:spacing w:after="0" w:line="282" w:lineRule="auto"/>
        <w:tabs>
          <w:tab w:leader="none" w:pos="235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EDP-305 exhibited strong target engagement as shown by reductions in C4 and increases in FGF-19 and ALP. A robust GGT reduction was also observed.</w:t>
      </w:r>
    </w:p>
    <w:p>
      <w:pPr>
        <w:spacing w:after="0" w:line="53" w:lineRule="exact"/>
        <w:rPr>
          <w:rFonts w:ascii="Times New Roman" w:cs="Times New Roman" w:eastAsia="Times New Roman" w:hAnsi="Times New Roman"/>
          <w:sz w:val="18"/>
          <w:szCs w:val="18"/>
          <w:color w:val="auto"/>
        </w:rPr>
      </w:pPr>
    </w:p>
    <w:p>
      <w:pPr>
        <w:ind w:left="2358" w:right="20" w:hanging="440"/>
        <w:spacing w:after="0" w:line="266" w:lineRule="auto"/>
        <w:tabs>
          <w:tab w:leader="none" w:pos="235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EDP-305 was generally safe, with the majority of treatment-emergent adverse events (TEAEs) being mild to moderate. The most common (≥5%) TEAEs included pruritus, gastro-intestinal (GI) related symptoms (nausea, vomiting, diarrhea), headache, and dizziness.</w:t>
      </w:r>
    </w:p>
    <w:p>
      <w:pPr>
        <w:spacing w:after="0" w:line="68" w:lineRule="exact"/>
        <w:rPr>
          <w:rFonts w:ascii="Times New Roman" w:cs="Times New Roman" w:eastAsia="Times New Roman" w:hAnsi="Times New Roman"/>
          <w:sz w:val="18"/>
          <w:szCs w:val="18"/>
          <w:color w:val="auto"/>
        </w:rPr>
      </w:pPr>
    </w:p>
    <w:p>
      <w:pPr>
        <w:ind w:left="2358" w:right="240" w:hanging="440"/>
        <w:spacing w:after="0" w:line="261" w:lineRule="auto"/>
        <w:tabs>
          <w:tab w:leader="none" w:pos="235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for tolerability of EDP-305 in this 12-week Phase 2a study, pruritus was present in approximately 51% of the subjects in the 2.5mg arm compared to less than 10% in the 1mg arm, with the majority being mild or moderate in severity. The incidence of treatment discontinuation due to pruritus was 1.8% for the 1mg dose and 20.8% for the 2.5mg dose, with all the discontinuations in the 2.5mg arm being due to moderate pruritus.</w:t>
      </w:r>
    </w:p>
    <w:p>
      <w:pPr>
        <w:spacing w:after="0" w:line="71" w:lineRule="exact"/>
        <w:rPr>
          <w:rFonts w:ascii="Times New Roman" w:cs="Times New Roman" w:eastAsia="Times New Roman" w:hAnsi="Times New Roman"/>
          <w:sz w:val="18"/>
          <w:szCs w:val="18"/>
          <w:color w:val="auto"/>
        </w:rPr>
      </w:pPr>
    </w:p>
    <w:p>
      <w:pPr>
        <w:ind w:left="2358" w:hanging="440"/>
        <w:spacing w:after="0"/>
        <w:tabs>
          <w:tab w:leader="none" w:pos="235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EDP-305 was associated with small absolute changes in lipids.</w:t>
      </w:r>
    </w:p>
    <w:p>
      <w:pPr>
        <w:spacing w:after="0" w:line="225" w:lineRule="exact"/>
        <w:rPr>
          <w:sz w:val="20"/>
          <w:szCs w:val="20"/>
          <w:color w:val="auto"/>
        </w:rPr>
      </w:pPr>
    </w:p>
    <w:p>
      <w:pPr>
        <w:ind w:left="5058"/>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18"/>
          </w:cols>
          <w:pgMar w:left="842" w:top="445" w:right="239" w:bottom="1440" w:gutter="0" w:footer="0" w:header="0"/>
        </w:sectPr>
      </w:pPr>
    </w:p>
    <w:bookmarkStart w:id="5" w:name="page6"/>
    <w:bookmarkEnd w:id="5"/>
    <w:p>
      <w:pPr>
        <w:ind w:left="1800" w:hanging="603"/>
        <w:spacing w:after="0" w:line="254"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the second quarter of calendar 2020, we plan to initiate a 72-week Phase 2b study, named ARGON-2, with histological endpoints, including fibrosis in biopsy-confirmed NASH patients treated with EDP-305 or placebo. The study will include an interim analysis to enhance our ability to seek opportunities more quickly for development of EDP-305 in combinations with other mechanisms for NASH.</w:t>
      </w:r>
    </w:p>
    <w:p>
      <w:pPr>
        <w:spacing w:after="0" w:line="80" w:lineRule="exact"/>
        <w:rPr>
          <w:rFonts w:ascii="Courier New" w:cs="Courier New" w:eastAsia="Courier New" w:hAnsi="Courier New"/>
          <w:sz w:val="18"/>
          <w:szCs w:val="18"/>
          <w:color w:val="auto"/>
        </w:rPr>
      </w:pPr>
    </w:p>
    <w:p>
      <w:pPr>
        <w:ind w:left="1800" w:right="460" w:hanging="603"/>
        <w:spacing w:after="0" w:line="264"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Additionally, in November 2019, we identified EDP-297 as our follow-on FXR development candidate, for which we expect to initiate Phase 1 development in mid-calendar 2020.</w:t>
      </w:r>
    </w:p>
    <w:p>
      <w:pPr>
        <w:spacing w:after="0" w:line="68" w:lineRule="exact"/>
        <w:rPr>
          <w:rFonts w:ascii="Courier New" w:cs="Courier New" w:eastAsia="Courier New" w:hAnsi="Courier New"/>
          <w:sz w:val="18"/>
          <w:szCs w:val="18"/>
          <w:color w:val="auto"/>
        </w:rPr>
      </w:pPr>
    </w:p>
    <w:p>
      <w:pPr>
        <w:ind w:left="2960" w:right="80" w:hanging="426"/>
        <w:spacing w:after="0" w:line="258" w:lineRule="auto"/>
        <w:tabs>
          <w:tab w:leader="none" w:pos="29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data on EDP-297 reveal a profile that delivers high target-tissue distribution along with greater potency than that published on any FXR agonist in clinical development today. In preclinical models, EDP-297 delivered the drug preferentially to tissues with FXR receptors (e.g. liver and intestine), while minimizing drug levels in plasma. We believe that having a highly potent FXR agonist may allow for lower effective doses and reduced drug levels at non-targeted tissues, thereby potentially reducing pruritis if it is an off-target effect.</w:t>
      </w:r>
    </w:p>
    <w:p>
      <w:pPr>
        <w:spacing w:after="0" w:line="75" w:lineRule="exact"/>
        <w:rPr>
          <w:rFonts w:ascii="Times New Roman" w:cs="Times New Roman" w:eastAsia="Times New Roman" w:hAnsi="Times New Roman"/>
          <w:sz w:val="18"/>
          <w:szCs w:val="18"/>
          <w:color w:val="auto"/>
        </w:rPr>
      </w:pPr>
    </w:p>
    <w:p>
      <w:pPr>
        <w:ind w:left="1800" w:right="40" w:hanging="603"/>
        <w:spacing w:after="0" w:line="264"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also have an ongoing Phase 2a study, named INTREPID, to assess the safety, tolerability, pharmacokinetics and efficacy of EDP-305 in subjects with Primary Biliary Cholangitis, or PBC, a chronic liver disease that slowly destroys bile ducts in the liver.</w:t>
      </w:r>
    </w:p>
    <w:p>
      <w:pPr>
        <w:spacing w:after="0" w:line="68" w:lineRule="exact"/>
        <w:rPr>
          <w:rFonts w:ascii="Courier New" w:cs="Courier New" w:eastAsia="Courier New" w:hAnsi="Courier New"/>
          <w:sz w:val="18"/>
          <w:szCs w:val="18"/>
          <w:color w:val="auto"/>
        </w:rPr>
      </w:pPr>
    </w:p>
    <w:p>
      <w:pPr>
        <w:ind w:left="2960" w:right="60" w:hanging="440"/>
        <w:spacing w:after="0" w:line="266" w:lineRule="auto"/>
        <w:tabs>
          <w:tab w:leader="none" w:pos="29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we announced that we had determined, based on preliminary data, that the INTREPID study had achieved sufficient enrollment to allow us to make an informed decision about EDP-305 development for the treatment of PBC. We expect to have data from this study in the second quarter of calendar 2020.</w:t>
      </w:r>
    </w:p>
    <w:p>
      <w:pPr>
        <w:spacing w:after="0" w:line="68" w:lineRule="exact"/>
        <w:rPr>
          <w:rFonts w:ascii="Times New Roman" w:cs="Times New Roman" w:eastAsia="Times New Roman" w:hAnsi="Times New Roman"/>
          <w:sz w:val="18"/>
          <w:szCs w:val="18"/>
          <w:color w:val="auto"/>
        </w:rPr>
      </w:pPr>
    </w:p>
    <w:p>
      <w:pPr>
        <w:ind w:left="1800" w:right="140" w:hanging="603"/>
        <w:spacing w:after="0" w:line="264"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EDP-305 has been granted Fast Track designation by the FDA for the treatment of NASH patients with liver fibrosis and separately for the treatment of PBC.</w:t>
      </w:r>
    </w:p>
    <w:p>
      <w:pPr>
        <w:spacing w:after="0" w:line="68" w:lineRule="exact"/>
        <w:rPr>
          <w:rFonts w:ascii="Courier New" w:cs="Courier New" w:eastAsia="Courier New" w:hAnsi="Courier New"/>
          <w:sz w:val="18"/>
          <w:szCs w:val="18"/>
          <w:color w:val="auto"/>
        </w:rPr>
      </w:pPr>
    </w:p>
    <w:p>
      <w:pPr>
        <w:ind w:left="1800" w:right="80" w:hanging="603"/>
        <w:spacing w:after="0" w:line="264"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addition, we have been pursuing research in other mechanisms that may provide therapeutic benefit in NASH, any of which could be used in combination therapies for NASH.</w:t>
      </w:r>
    </w:p>
    <w:p>
      <w:pPr>
        <w:spacing w:after="0" w:line="68" w:lineRule="exact"/>
        <w:rPr>
          <w:rFonts w:ascii="Courier New" w:cs="Courier New" w:eastAsia="Courier New" w:hAnsi="Courier New"/>
          <w:sz w:val="18"/>
          <w:szCs w:val="18"/>
          <w:color w:val="auto"/>
        </w:rPr>
      </w:pPr>
    </w:p>
    <w:p>
      <w:pPr>
        <w:ind w:left="1200" w:right="10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In July 2019, we announced initiation of a Phase 1a/1b clinical study of EDP-514, our lead core inhibitor for the treatment of hepatitis B virus (HBV), which has also been granted Fast Track designation by the FDA.</w:t>
      </w:r>
    </w:p>
    <w:p>
      <w:pPr>
        <w:spacing w:after="0" w:line="53" w:lineRule="exact"/>
        <w:rPr>
          <w:rFonts w:ascii="Times New Roman" w:cs="Times New Roman" w:eastAsia="Times New Roman" w:hAnsi="Times New Roman"/>
          <w:sz w:val="18"/>
          <w:szCs w:val="18"/>
          <w:color w:val="auto"/>
        </w:rPr>
      </w:pPr>
    </w:p>
    <w:p>
      <w:pPr>
        <w:ind w:left="1800" w:right="180" w:hanging="603"/>
        <w:spacing w:after="0" w:line="253"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randomized, double-blind, placebo-controlled Phase 1a/1b study is designed to evaluate first the safety, tolerability and pharmacokinetics (PK) of single ascending doses (SAD) and multiple ascending doses (MAD) of EDP-514 in healthy subjects, and then the antiviral activity of EDP-514 in nucleos(t)ide-reverse-transcriptase (NUC)-suppressed patients with chronic HBV infection. The completion of the SAD and MAD part of the study is targeted for the first quarter of calendar 2020, when we will initiate Part 2 of the study to evaluate NUC-suppressed patients. We are also planning a separate Phase 1b study in viremic patients with chronic HBV infection, which we plan to initiate in the second quarter of calendar 2020.</w:t>
      </w:r>
    </w:p>
    <w:p>
      <w:pPr>
        <w:spacing w:after="0" w:line="77" w:lineRule="exact"/>
        <w:rPr>
          <w:rFonts w:ascii="Courier New" w:cs="Courier New" w:eastAsia="Courier New" w:hAnsi="Courier New"/>
          <w:sz w:val="18"/>
          <w:szCs w:val="18"/>
          <w:color w:val="auto"/>
        </w:rPr>
      </w:pPr>
    </w:p>
    <w:p>
      <w:pPr>
        <w:ind w:left="1800" w:right="200" w:hanging="603"/>
        <w:spacing w:after="0" w:line="255"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EDP-514 was selected from our lead class of HBV compounds that are characterized by potent antiviral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these compounds are capable of preventing the establishment of cccDNA, are pan-genotypic, are active against known nucleos(t)ide resistant mutants, and are additive to synergistic with nucleoside analogs and other core inhibitors. Members of this class have also demonstrated excellent reductions in HBV titers in a chimeric mouse model with human liver cells.</w:t>
      </w:r>
    </w:p>
    <w:p>
      <w:pPr>
        <w:spacing w:after="0" w:line="78" w:lineRule="exact"/>
        <w:rPr>
          <w:rFonts w:ascii="Courier New" w:cs="Courier New" w:eastAsia="Courier New" w:hAnsi="Courier New"/>
          <w:sz w:val="18"/>
          <w:szCs w:val="18"/>
          <w:color w:val="auto"/>
        </w:rPr>
      </w:pPr>
    </w:p>
    <w:p>
      <w:pPr>
        <w:ind w:left="1800" w:right="200" w:hanging="603"/>
        <w:spacing w:after="0" w:line="257" w:lineRule="auto"/>
        <w:tabs>
          <w:tab w:leader="none" w:pos="180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addition, we are also seeking patent protection and conducting preclinical experiments with compounds we have discovered that use other mechanisms to target HBV. We believe that it may be necessary to utilize more than one compound/mechanism for the treatment of HBV and therefore we are pursuing multiple approaches.</w:t>
      </w:r>
    </w:p>
    <w:p>
      <w:pPr>
        <w:spacing w:after="0" w:line="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in our areas of focus as well as in other areas.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Through our Collaborative Development and License Agreement with AbbVie, we have discovered and out-licensed to AbbVie two protease inhibitor compounds that have been clinically tested, manufactured, and commercialized by AbbVie as part of its combination regimens for HCV. We have earned all $330.0 million milestone payments under the agreement related to clinical development and commercialization regulatory approvals of these regimens in major markets.</w:t>
      </w:r>
    </w:p>
    <w:p>
      <w:pPr>
        <w:spacing w:after="0" w:line="72" w:lineRule="exact"/>
        <w:rPr>
          <w:sz w:val="20"/>
          <w:szCs w:val="20"/>
          <w:color w:val="auto"/>
        </w:rPr>
      </w:pPr>
    </w:p>
    <w:p>
      <w:pPr>
        <w:ind w:left="1200" w:right="40" w:hanging="598"/>
        <w:spacing w:after="0" w:line="274" w:lineRule="auto"/>
        <w:tabs>
          <w:tab w:leader="none" w:pos="12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Glecaprevir is the protease inhibitor we discovered that was developed by AbbVie in a fixed-dose combination with its NS5A inhibitor, pibrentasvir, for the treatment of HCV. This combination, currently marketed under the brand names MAVYRET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(U.S.) and MAVIRET™ (ex-U.S.) and referred to in this report as MAVYRET/MAVIRET. This regimen is a novel, once daily, all 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developed country markets, and MAVYRET/MAVIRET remains the only 8-week pangenotypic HCV treatment.</w:t>
      </w:r>
    </w:p>
    <w:p>
      <w:pPr>
        <w:spacing w:after="0" w:line="65" w:lineRule="exact"/>
        <w:rPr>
          <w:rFonts w:ascii="Times New Roman" w:cs="Times New Roman" w:eastAsia="Times New Roman" w:hAnsi="Times New Roman"/>
          <w:sz w:val="17"/>
          <w:szCs w:val="17"/>
          <w:color w:val="auto"/>
        </w:rPr>
      </w:pPr>
    </w:p>
    <w:p>
      <w:pPr>
        <w:ind w:left="1200" w:hanging="598"/>
        <w:spacing w:after="0" w:line="258"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(see Note 7 in Notes to Consolidated Financial Statements). These royalties are calculated separately from the royalties on AbbVie’s paritaprevir-containing regimens, and the annual royalty tiers return to the lowest tier for sales on and after each January 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primary objective is to become a leader in the field of viral infections and liver diseases in order to provide new treatments for patients with unmet medical needs. Our principal focus is on antiviral targets for viruses such as RSV and HBV, as well as liver diseases such as NASH. Our strategy includes the following key elements:</w:t>
      </w:r>
    </w:p>
    <w:p>
      <w:pPr>
        <w:spacing w:after="0" w:line="66" w:lineRule="exact"/>
        <w:rPr>
          <w:sz w:val="20"/>
          <w:szCs w:val="20"/>
          <w:color w:val="auto"/>
        </w:rPr>
      </w:pPr>
    </w:p>
    <w:p>
      <w:pPr>
        <w:ind w:left="1200" w:right="40" w:hanging="598"/>
        <w:spacing w:after="0" w:line="257"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 novel treatment options for RSV, NASH, and HBV</w:t>
      </w:r>
      <w:r>
        <w:rPr>
          <w:rFonts w:ascii="Times New Roman" w:cs="Times New Roman" w:eastAsia="Times New Roman" w:hAnsi="Times New Roman"/>
          <w:sz w:val="18"/>
          <w:szCs w:val="18"/>
          <w:color w:val="auto"/>
        </w:rPr>
        <w:t>. We have potential candidates in clinical development for our research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diseases of RSV, NASH and HBV, which are therapeutic areas that have attracted research and development efforts of many competitors. We believe each of these diseases represents a substantial medical need for an effective, or more effective, treatment. In 2020 our lead compounds in RSV and NASH will be in Phase 2 studies and our lead HBV core inhibitor will be in two Phase 1b studies in chronic HBV patients. We expect these studies will provide us important data regarding the prospects of each of these three compounds, including in the case of NASH, both the first and second interim analyses planned for the ARGON-2 study.</w:t>
      </w:r>
    </w:p>
    <w:p>
      <w:pPr>
        <w:spacing w:after="0" w:line="74" w:lineRule="exact"/>
        <w:rPr>
          <w:rFonts w:ascii="Times New Roman" w:cs="Times New Roman" w:eastAsia="Times New Roman" w:hAnsi="Times New Roman"/>
          <w:sz w:val="18"/>
          <w:szCs w:val="18"/>
          <w:color w:val="auto"/>
        </w:rPr>
      </w:pPr>
    </w:p>
    <w:p>
      <w:pPr>
        <w:ind w:left="1200" w:right="140" w:hanging="598"/>
        <w:spacing w:after="0" w:line="259"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Collaborate, where and when appropriate, with pharmaceutical partners to create combination therapies and accelerate the development and commercialization of our proprietary compounds</w:t>
      </w:r>
      <w:r>
        <w:rPr>
          <w:rFonts w:ascii="Times New Roman" w:cs="Times New Roman" w:eastAsia="Times New Roman" w:hAnsi="Times New Roman"/>
          <w:sz w:val="18"/>
          <w:szCs w:val="18"/>
          <w:color w:val="auto"/>
        </w:rPr>
        <w:t>. We are prepared to join forces, where and when appropriate, with collaborators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compounds targeting other mechanisms of action in diseases such as NASH and HBV, where there is the potential for better treatments with combination therapies. Our decisions regarding our proprietary programs will be based on the results of our early phase clinical studies and the potential for combinations with one or more drugs targeting other mechanisms of action in these diseases.</w:t>
      </w:r>
    </w:p>
    <w:p>
      <w:pPr>
        <w:spacing w:after="0" w:line="71" w:lineRule="exact"/>
        <w:rPr>
          <w:rFonts w:ascii="Times New Roman" w:cs="Times New Roman" w:eastAsia="Times New Roman" w:hAnsi="Times New Roman"/>
          <w:sz w:val="18"/>
          <w:szCs w:val="18"/>
          <w:color w:val="auto"/>
        </w:rPr>
      </w:pPr>
    </w:p>
    <w:p>
      <w:pPr>
        <w:ind w:left="1200" w:right="160" w:hanging="598"/>
        <w:spacing w:after="0" w:line="259"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 in research and development of additional product candidates in RSV, NASH and HBV</w:t>
      </w:r>
      <w:r>
        <w:rPr>
          <w:rFonts w:ascii="Times New Roman" w:cs="Times New Roman" w:eastAsia="Times New Roman" w:hAnsi="Times New Roman"/>
          <w:sz w:val="18"/>
          <w:szCs w:val="18"/>
          <w:color w:val="auto"/>
        </w:rPr>
        <w:t>. We are continuing to invest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in our RSV, NASH and HBV research programs in an effort to identify and advance additional novel compounds that have the potential to address significant unmet medical needs in these disease areas. We may clinically explore other diseases where our assets could play a role. In addition, we may seek to augment our product candidate pipeline through the acquisition or in-licensing of external assets and/or technologies in one or more of our disease areas of focus.</w:t>
      </w:r>
    </w:p>
    <w:p>
      <w:pPr>
        <w:spacing w:after="0" w:line="71" w:lineRule="exact"/>
        <w:rPr>
          <w:rFonts w:ascii="Times New Roman" w:cs="Times New Roman" w:eastAsia="Times New Roman" w:hAnsi="Times New Roman"/>
          <w:sz w:val="18"/>
          <w:szCs w:val="18"/>
          <w:color w:val="auto"/>
        </w:rPr>
      </w:pPr>
    </w:p>
    <w:p>
      <w:pPr>
        <w:jc w:val="both"/>
        <w:ind w:left="1200" w:right="160" w:hanging="598"/>
        <w:spacing w:after="0" w:line="290" w:lineRule="auto"/>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Continue to use our existing resources and future cash flow from our AbbVie collaboration to fund our research and development activities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expect our existing financial resources and future royalty payments from our AbbVie collaboration will provide us substantial resources to fund our research and development programs for the foreseeable future. These resources will allow us to continue to advance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7" w:name="page8"/>
    <w:bookmarkEnd w:id="7"/>
    <w:p>
      <w:pPr>
        <w:ind w:left="1200"/>
        <w:spacing w:after="0" w:line="266" w:lineRule="auto"/>
        <w:rPr>
          <w:sz w:val="20"/>
          <w:szCs w:val="20"/>
          <w:color w:val="auto"/>
        </w:rPr>
      </w:pPr>
      <w:r>
        <w:rPr>
          <w:rFonts w:ascii="Times New Roman" w:cs="Times New Roman" w:eastAsia="Times New Roman" w:hAnsi="Times New Roman"/>
          <w:sz w:val="18"/>
          <w:szCs w:val="18"/>
          <w:color w:val="auto"/>
        </w:rPr>
        <w:t>compounds in clinical development as well as to progress the most promising candidates at least through proof-of-concept trials and for further development as a monotherapy or in combinations with other therapeutic agents when we believe such combinations will provide the most promising opportunities.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Research and Development Pipeline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85725</wp:posOffset>
            </wp:positionV>
            <wp:extent cx="5342890" cy="4116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289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RSV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RSV</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Respiratory syncytial virus, or RSV, is a virus that infects the lungs and is the most common cause of bronchiolitis and pneumonia in young children and a significant cause of respiratory illness in older adults. Estimates suggest that approximately 200,000 hospitalizations in the U.S. and EU occur each year in children under the age of two and a similar number of hospitalizations in these regions occur each year in adults over the age of 65. In one large U.S.-based study, RSV infection in children was associated with 20% of hospitalizations, 18% of emergency department visits, and 15% of pediatric office visits for acute respiratory infections in the November-April timeframe. There are currently no safe and effective therapies for already established RSV infection.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RSV is a single-stranded, negative-sense RNA virus. The RSV genome consists of ten genes that encode for 11 proteins, namely NS1, NS2, N, P, M, SH, G, F, M2-1, M2-2, and L. The F and G proteins are the predominant target proteins for RSV vaccines. Similarly, small molecule therapeutics have focused primarily on the F (or fusion)</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protein, while some efforts have targeted the N and L proteins. There are two major subgroups of RSV, designated RSV-A and RSV-B, each of which contains numerous genotypes. Both groups are viewed as capable of causing RSV infections that can result in hospitalization.</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Several companies are seeking new antiviral treatments for RSV infection in adult and pediatric patients. Ark Biosciences, Johnson &amp; Johnson, and ReViral each have compounds in clinical development.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EDP-938 and Our Approach to the Treatment of RSV</w:t>
      </w:r>
    </w:p>
    <w:p>
      <w:pPr>
        <w:spacing w:after="0" w:line="12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While a number of companies are developing potential approaches geared towards the F protein (or fusion protein, responsible for mediating viral entry of RSV into host cells), we are focused on other mechanisms, such as the N-protein pathway, that targets the replication process of RSV. It is possible that N-protein inhibitors may also be effective treatments at later stages of infection. To our knowledge, we are currently the only company with an N inhibitor in clinical development.</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Through our internal chemistry efforts, we identified our lead clinical candidate, EDP-938. During preclinical studies, EDP-938 demonstrated a greater than 4-log reduction in viral load in an animal model challenged with RSV. Further, EDP-938 maintained antiviral potency across all clinical isolates tested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as well as virus that was resistant to fusion inhibitors. The compound inhibited RSV at a post-entry replication step and maintained its activity</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when given 24 hours post infection. In addition, combination studies of EDP-938 with other types of RSV inhibitors, such as fusion inhibitors, showed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synergistic antiviral effects.</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fiscal 2018, we initiated and completed a Phase 1 clinical study of EDP-938. On November 1, 2018, we presented full Phase 1 data at the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International Respiratory Syncytial Virus Symposium. The Phase 1, randomized, double-blind, placebo (PBO)-controlled, first-in-human study was conducted to evaluate the safety, tolerability, and pharmacokinetics (PK) and food effect of EDP-938 in healthy subjects. Overall, no safety concerns were reported in 68 healthy subjects receiving a broad range of single and multiple doses of EDP-938. Headache was the most frequently reported AE during the SAD and MAD phases. There were no SAEs, and AEs were of mild intensity, with none leading to study drug discontinuation. EDP-938 was rapidly absorbed and exposure increased with increasing single and multiple dosing, resulting in a PK profile suitable for once or twice daily oral dosing regardless of food. In the MAD phase, half-life ranged from 12.9 to 17.6 hours, and at doses comparable to those under study in the Phase 2a trial, and mean trough levels were approximately 30x higher than the EC90 of EDP-938 against RSV-infected human cells.</w:t>
      </w:r>
    </w:p>
    <w:p>
      <w:pPr>
        <w:spacing w:after="0" w:line="7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Based on the results above, we initiated a Phase 2a challenge study of EDP-938 in October 2018. This study was a randomized, double-blind, placebo-controlled, human challenge study of 115 healthy adult subjects that were randomized into 1 of 2 dosing arms or a placebo arm and received either a once-daily (QD) 600 mg dose, a single 500 mg loading dose (LD) followed by a 300 mg twice daily (BID) dose, or placebo, for 5 days. Data from this study demonstrated that EDP-938 achieved a highly statistically significant reductions (p=&lt;0.001) in RSV viral load (by both qRT-PCR and plaque assays), total symptom scores and mucus weights compared to placebo. In addition, the study showed that mean trough levels of drug achieved in study subjects were 20-40x higher than the amount of EDP-938 that has been shown in previously reported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to reduce 90% of the viral RNA in RSV-infected human cells.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these results, in November 2019 we initiated our first Phase 2b study of EDP-938, which is being conducted in adult outpatients with RSV infection. This study, known as RSVP, is designed to provide further information about EDP-938 in a community-acquired RSV adult population and to better understand the feasibility of DAA therapy in an outpatient setting. We are planning to conduct future studies of EDP-938 in pediatric populations, as well as immune-compromised and other adult populations where RSV morbidity is significant.</w:t>
      </w:r>
    </w:p>
    <w:p>
      <w:pPr>
        <w:spacing w:after="0" w:line="7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RSVP study is a randomized, double-blind, placebo-controlled study that is designed to enroll approximately 70 subjects, up to the age of 75 years, randomized to receive either 800 mg of EDP 938 or placebo for 5 days. The primary objective of the study is to evaluate the effect of EDP-938 on the progression of RSV infection 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ind w:right="320"/>
        <w:spacing w:after="0" w:line="282" w:lineRule="auto"/>
        <w:rPr>
          <w:sz w:val="20"/>
          <w:szCs w:val="20"/>
          <w:color w:val="auto"/>
        </w:rPr>
      </w:pPr>
      <w:r>
        <w:rPr>
          <w:rFonts w:ascii="Times New Roman" w:cs="Times New Roman" w:eastAsia="Times New Roman" w:hAnsi="Times New Roman"/>
          <w:sz w:val="18"/>
          <w:szCs w:val="18"/>
          <w:color w:val="auto"/>
        </w:rPr>
        <w:t>assessment of clinical symptoms measured over the course of the 14-day study observation period. Antiviral efficacy will be evaluated as a key secondary endpoint.</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Depending upon the severity of the RSV season in North America and the rate of enrollment, our goal is to complete the RSVP study in one season and topline data could be announced in the third quarter of calendar 2020. If needed, however, we have plans to continue the study in the southern hemisphere where RSV infection occurs later in the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FXR Program in NASH and PBC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NASH and PBC</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Non-alcoholic fatty liver disease, or NAFLD, is the accumulation of excessive fat in liver cells in the form of triglycerides, a process known as hepatic steatosis, that is not associated with alcohol abuse. It is normal for the liver to contain some fat. However, if more than 5%-10% of the liver’s weight is fat, then it is called a fatty liver. A subgroup of NAFLD patients have liver cell injury and inflammation (steatohepatitis) in addition to excessive fat. Progression of this condition leads to non-alcoholic steatohepatitis, or NASH. Patients with NASH can develop fibrosis, a fibrous scarring of the liver, and ultimately cirrhosis of the liver. Typically scored on a scale of 1-4, also referred to as F1-F4, fibrosis in its earlier stages has been shown to be reversible, but in its most advanced stage results in cirrhosis, which is understood to be a more advanced, irreversible scarring of the liver, potentially leading to hepatocellular carcinoma (HCC) or requiring a liver transplant. NASH is widely considered to be the liver expression of metabolic diseases related to type 2 diabetes, insulin resistance, obesity, hyperlipidemia and hypertension.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u w:val="single" w:color="auto"/>
          <w:color w:val="auto"/>
        </w:rPr>
        <w:t>Stages of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86995</wp:posOffset>
            </wp:positionV>
            <wp:extent cx="5213985" cy="1526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According to the World Gastroenterology Organization Global Guidelines 2014, NASH is an increasingly common chronic liver disease with worldwide distribution that is closely associated with diabetes and obesity, which have both reached epidemic proportions. It is estimated that NASH is estimated to affect approximately 1.5% to 6.5% of the population in the developed world (which translates to approximately 5 to 20 million individuals in the U.S. alone). NASH and NAFLD are now considered the number one cause of liver disease in Western countries.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Currently, there are no approved treatments for NASH. While patients presenting with NASH are counseled on lifestyle modifications, new effective treatments are urgently needed, particularly in the setting of advanced fibrosis and cirrhosis. We expect significant competition from other companies in the development of treatments for NASH and related conditions. Intercept Pharmaceuticals has completed a Phase 3 trial of OCALIVA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(obeticholic acid), or OCA, in NASH and has submitted regulatory filings in the U.S. for approval of OCA in NASH and plans to submit European regulatory filings by the end of 2019. We are aware of several other companies with NASH programs that are significantly more advanced than ours, including companies with compounds in Phase 3 clinical trials in NASH, namely Allergan, Galmed, Genfit and Madrigal. In addition, a number of companies have NASH or related programs with compounds in Phase 2 clinical trials. These companies include Akero, Alberio, Astra-Zeneca, BMS, Boehringer Ingelheim, Can-Fite BioPharma, Cirius, Cymabay, Galectin, , Gilead, GlaxoSmithKline, Immuron, Inventiva, Ionis, Lipocine, Medicinova, Metacrine, Northsea Therapeutics, Novartis, NGM, Novo Nordisk, Pfizer, Poxel, Second Genome, Viking and Zydus.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ind w:right="60"/>
        <w:spacing w:after="0" w:line="256" w:lineRule="auto"/>
        <w:rPr>
          <w:sz w:val="20"/>
          <w:szCs w:val="20"/>
          <w:color w:val="auto"/>
        </w:rPr>
      </w:pPr>
      <w:r>
        <w:rPr>
          <w:rFonts w:ascii="Times New Roman" w:cs="Times New Roman" w:eastAsia="Times New Roman" w:hAnsi="Times New Roman"/>
          <w:sz w:val="18"/>
          <w:szCs w:val="18"/>
          <w:color w:val="auto"/>
        </w:rPr>
        <w:t>Primary biliary cholangitis (formerly known as primary biliary cirrhosis), or PBC, is a chronic, or long-term, disease of the liver that slowly destroys the medium-sized bile ducts within the liver. Bile is a digestive liquid that is made in the liver. It travels through the bile ducts to the small intestine, where it helps digest fats and absorb fatty vitamins. In patients with PBC, the bile ducts are destroyed by inflammation. This causes bile to remain in the liver, where gradual injury damages liver cells and causes cirrhosis, or scarring of the liver. As cirrhosis progresses and the amount of scar tissue in the liver increases, the liver loses its ability to function, leading to potential liver failure, liver transplantation or hepatocellular carcinoma. PBC is a relatively rare disease (affecting an estimated 17,000 individuals in the U.S. and is 10 times more common in women than in men).</w:t>
      </w:r>
    </w:p>
    <w:p>
      <w:pPr>
        <w:spacing w:after="0" w:line="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Agonists of the farnesoid X receptor, referred to as FXR agonists, have shown promising activity in many preclinical models of liver disease. One FXR agonist, OCA, which was approved by the FDA in May 2016 for the treatment of PBC, has already demonstrated favorable clinical results in NASH. We believe that new FXR agonists may provide therapeutic benefit in NASH with advantages over OCA in terms of better efficacy, better tolerability or better safety or one or more of those advantages.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FXR is a nuclear hormone receptor that functions to modulate gene expression in response to various metabolic stimuli. FXRs are expressed at high levels in the liver and intestine. Bile acids have been identified as important physiological ligands for FXRs, able to bind and activate the receptor. The downstream gene modulation resulting from bile acid engagement of FXRs not only contribute to the regulation of bile acid synthesis and metabolism, but is also involved in a number of other metabolic processes, in particular lipid metabolism. More recently, it has been discovered that bile acids, via FXR, are able to promote insulin sensitivity and decrease lipid synthesis in the liver. In addition, studies have shown that bile acid-dependent FXR activation is able to provide beneficial effects on fibrosis in the liver as well. For these reasons, FXR is considered to be a viable target for NASH. Phase 3 data with OCA, a synthetic analog of natural bile acids known to activate FXR, demonstrated efficacy in biopsy-confirmed NASH patients. In PBC, improved outcomes would be expected due to the reduction of bile acid synthesis by activation of FXR. OCA demonstrated efficacy in a Phase 3 trial in PBC, which was the basis for its conditional approval in the U.S. in May 2016 for the treatment of PBC in combination with first line therapy ursodeoxycholic acid (UDCA) in adults with an inadequate response to UDCA, or as monotherapy in adults unable to tolerate UDCA.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EDP-305 and Our Approach to the Treatment of NASH and PBC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though there has been clinical validation demonstrated by the FXR agonist, OCA, we believe that there is an opportunity for the development of a treatment that shows improvements in potency and efficacy and reductions in potential safety liabilities for the treatment of NASH and PBC. Using our strong chemistry capabilities, we have undertaken the discovery and development of new FXR agonists that we believe may provide improvements over the FXR agonists currently in advanced clinical development.</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EDP-305, our lead FXR agonist candidate, represents a class of FXR agonists that has been designed to take advantage of increased binding interactions with the receptor. Further, this non-bile acid class contains steroidal and non-steroidal components and does not contain the carboxylic acid group that can lead to the formation of taurine and glycine conjugates normally associated with bile acids, which may also be present in other classes of FXR agonists.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reported the results of our Phase 1 a/b clinical study of EDP-305 in October 2017. Our double-blind, placebo-controlled Phase 1 study was designed to evaluate the safety, tolerability and pharmacokinetics of single ascending doses, or SAD, and multiple ascending doses, or MAD, of EDP-305 in adult healthy volunteer subjects, or HV subjects, and subjects with presumptive NAFLD, or PN subjects. By presumptive NAFLD, we mean adults who are obese, with or without pre-diabetes or type 2 diabetes.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this Phase 1 study, EDP-305 was shown to be generally safe and well tolerated over a broad range of single and multiple doses with pharmacokinetic, or PK, data supporting once daily oral dosing. EDP-305 exhibited strong engagement of the FXR receptor as evidenced by increased FGF19 levels and reduced C4 levels, which are proteins that can be monitored as downstream markers indicating FXR activity.</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Based on the results of the Phase 1 study, we initiated two Phase 2 dose-ranging studies in fiscal 2018 –one in NASH patients, known as ARGON-1, and one in PBC patients, known as INTREPID. Both studies were 12-week, dose ranging, randomized, double-blind, placebo-controlled trials. A new tablet formulation was utilized in these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Phase 2 studies at strengths of 1 mg and 2.5 mg (tablet formulation yields ~ 2X greater exposure than the suspension formulation used in the Phase 1 study).</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primary objectives of the ARGON-1 study were to evaluate change in ALT levels at week 12 and to evaluate the safety and tolerability of EDP-305 in a NASH population. Key secondary objectives included change in liver fat content by MRI-PDFF, change in lipids, and pharmacokinetics, and pharmacodynamic parameters, including C4 and FGF19.</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study’s primary endpoint was achieved with a statistically significant ALT reduction of 28 U/L in the EDP-305 2.5mg arm versus 15 U/L in the placebo arm at week 12 (p=0.049). There was also a statistically significant reduction in liver fat content with EDP-305 at the 2.5mg dose as measured by MRI-PDFF (p&lt;0.001). Forty-five percent of subjects were MRI-PDFF responders (i.e. ≥30% fat reduction).</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EDP-305 exhibited strong target engagement as shown by reductions in C4 and increases in FGF-19 and ALP. A robust GGT reduction was also observed, with decreases observed at both doses vs. placebo.</w:t>
      </w:r>
    </w:p>
    <w:p>
      <w:pPr>
        <w:spacing w:after="0" w:line="5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Overall, EDP-305 was generally safe, with the majority of treatment-emergent adverse events (TEAEs) being mild to moderate. The most common (≥5%) TEAEs included pruritus, gastro-intestinal (GI) related symptoms (nausea,vomiting, diarrhea), headache and dizziness. A consistent safety profile has been observed across more than 400 subjects exposed to EDP-305 across all studies to date.</w:t>
      </w:r>
    </w:p>
    <w:p>
      <w:pPr>
        <w:spacing w:after="0" w:line="6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for tolerability of EDP-305 in this 12-week Phase 2a study, pruritus was present in approximately 51% of the subjects in the 2.5mg arm compared to less than 10% in the 1mg arm, with the majority being mild or moderate in severity. The incidence of treatment discontinuation due to pruritus was 1.8% for 1mg and 20.8% for 2.5mg, with all the discontinuations in the 2.5mg arm being due to moderate pruritus.</w:t>
      </w:r>
    </w:p>
    <w:p>
      <w:pPr>
        <w:spacing w:after="0" w:line="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Treatment with EDP-305 was associated with small absolute changes in LDL of 6 mg/dL, 5 mg/dL, and -4 mg/dL, with the 2.5mg dose, 1mg dose and placebo, respectively, and HDL.</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plan to initiate a 72-week Phase 2b study, named ARGON-2, in the second quarter of calendar 2020. ARGON-2 will be a randomized, double-blind, placebo-controlled study in approximately 340 subjects with biopsy-proven NASH. The primary endpoint of the study will be improvement of fibrosis without worsening of NASH and/or NASH resolution without worsening of fibrosis. Two doses of EDP-305 have been selected to provide strong target engagement, and a balanced profile in terms of efficacy and tolerability. We plan to use doses of 1.5 mg and 2.0 mg with the aim of demonstrating stronger biomarker signals of efficacy than seen at 1.0 mg and less pruritus than seen at 2.5 mg, which were the doses investigated in the ARGON-1 study. This study will include a 12-week interim analysis designed to enhance our ability to seek opportunities more quickly for development of EDP-305 in combinations with other mechanisms in NASH.</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case of the ongoing INTREPID study, the objectives are to assess the safety, tolerability, pharmacokinetics and efficacy of EDP-305 in subjects with PBC. In September 2019, we announced that we had determined, based on preliminary data, that this study had achieved sufficient enrollment to allow us to make an informed decision about EDP-305 development for the treatment of PBC. We expect to have data on this study in the second quarter of calendar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EDP-297, Follow-On FXR Agonist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identified EDP-297 as our follow-on FXR agonist candidate for NASH. Preclinical data on EDP-297 reveal a differentiated profile that delivers high target-tissue distribution, along with potency greater than that published on any FXR agonist in clinical development today. In preclinical models, EDP-297 delivered the drug preferentially to tissues with FXR receptors, namely liver and intestine, while minimizing drug levels in plasma and skin. We believe that having a highly potent and highly targeted FXR agonist like EDP-297 may allow for lower doses and reduced drug levels at non-targeted tissues, thereby potentially reducing pruritus if it is an off-target effect. We expect to initiate a Phase 1 study of EDP-297 in mid-calendar 2020 and plan to have data in the first half of calendar 2021.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HBV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HBV</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Hepatitis B virus, or HBV, can cause potentially life-threatening liver infection. The virus is transmitted through contact with the blood or other bodily fluids of an infected person. It is estimated that approximately 250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people worldwide are chronically infected, and 15-25% of patients with chronic HBV infection develop chronic liver disease, including cirrhosis, liver cancer, or liver decompensation. It is also estimated that more than 885,000 people worldwide died in 2015 due to complications of HBV. Estimates for the total number of persons chronically infected with HBV in the U.S. vary but generally range between 0.5 million and 2.0 million. Combining U.S., Japan, and major EU populations, estimates of HBV prevalence have been as high as 4.8 million.</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Current approaches to treatment include interferon therapy and/or inhibitors of HBV reverse transcriptase, the enzyme responsible for viral DNA synthesis, which is necessary for HBV replication. Treatment with interferon offers modest cure rates, and is accompanied by serious side effects, including flu-like symptoms, fatigue, headache and nausea. Reverse transcriptase inhibitors can be very effective at suppressing the virus but often require lifelong therapy and rarely result in full eradication of the virus from the liver. New treatments that can provide functional cures to chronically-infected patients are urgently needed.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Scientific Background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HBV is a partially double-stranded DNA virus with a complex life cycle. There are multiple mechanisms associated with HBV replication that could potentially be targeted with new drugs, and combination approaches may ultimately provide the most effective therapy for HBV. Mechanisms under study for HBV include:</w:t>
      </w:r>
    </w:p>
    <w:p>
      <w:pPr>
        <w:spacing w:after="0" w:line="68" w:lineRule="exact"/>
        <w:rPr>
          <w:sz w:val="20"/>
          <w:szCs w:val="20"/>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inhibitors that interfere with the initial binding of HBV to hepatocytes, thus preventing new infection from occurring.</w:t>
      </w:r>
    </w:p>
    <w:p>
      <w:pPr>
        <w:spacing w:after="0" w:line="117" w:lineRule="exact"/>
        <w:rPr>
          <w:rFonts w:ascii="Times New Roman" w:cs="Times New Roman" w:eastAsia="Times New Roman" w:hAnsi="Times New Roman"/>
          <w:sz w:val="18"/>
          <w:szCs w:val="18"/>
          <w:color w:val="auto"/>
        </w:rPr>
      </w:pPr>
    </w:p>
    <w:p>
      <w:pPr>
        <w:ind w:left="1200" w:right="120" w:hanging="598"/>
        <w:spacing w:after="0" w:line="28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Inhibitors of covalently closed circular DNA, or cccDNA, the template for HBV replication, which are in early stages of development. Most of these inhibitors act in an indirect manner, such as preventing formation of cccDNA or silencing its transcription.</w:t>
      </w:r>
    </w:p>
    <w:p>
      <w:pPr>
        <w:spacing w:after="0" w:line="53" w:lineRule="exact"/>
        <w:rPr>
          <w:rFonts w:ascii="Times New Roman" w:cs="Times New Roman" w:eastAsia="Times New Roman" w:hAnsi="Times New Roman"/>
          <w:sz w:val="18"/>
          <w:szCs w:val="18"/>
          <w:color w:val="auto"/>
        </w:rPr>
      </w:pPr>
    </w:p>
    <w:p>
      <w:pPr>
        <w:ind w:left="1200" w:right="400" w:hanging="598"/>
        <w:spacing w:after="0" w:line="28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 silencing of gene expression, another prominent approach in the search for HBV inhibitors, which utilizes small interfering RNA’s (siRNA’s). This mechanism has the potential to significantly reduce HBV RNA, HBV DNA, and HBV protein levels.</w:t>
      </w:r>
    </w:p>
    <w:p>
      <w:pPr>
        <w:spacing w:after="0" w:line="53" w:lineRule="exact"/>
        <w:rPr>
          <w:rFonts w:ascii="Times New Roman" w:cs="Times New Roman" w:eastAsia="Times New Roman" w:hAnsi="Times New Roman"/>
          <w:sz w:val="18"/>
          <w:szCs w:val="18"/>
          <w:color w:val="auto"/>
        </w:rPr>
      </w:pPr>
    </w:p>
    <w:p>
      <w:pPr>
        <w:ind w:left="1200" w:right="160" w:hanging="598"/>
        <w:spacing w:after="0" w:line="266"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Inhibition of the hepatitis B core protein, which plays a critical role in viral replication, intracellular trafficking, and maintenance of chronic infections. Using this core inhibitor mechanism (also known as capsid assembly inhibitor or core protein allosteric modifier), some initial data shows reduction in HBV DNA and HBV RNA in early clinical trials.</w:t>
      </w:r>
    </w:p>
    <w:p>
      <w:pPr>
        <w:spacing w:after="0" w:line="68" w:lineRule="exact"/>
        <w:rPr>
          <w:rFonts w:ascii="Times New Roman" w:cs="Times New Roman" w:eastAsia="Times New Roman" w:hAnsi="Times New Roman"/>
          <w:sz w:val="18"/>
          <w:szCs w:val="18"/>
          <w:color w:val="auto"/>
        </w:rPr>
      </w:pPr>
    </w:p>
    <w:p>
      <w:pPr>
        <w:ind w:left="1200" w:right="140" w:hanging="598"/>
        <w:spacing w:after="0" w:line="261"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surface antigen of HBV, or HBsAg, which is the main envelope protein of the virus and, another target in the HBV life cycle. HBsAg is critical to ongoing infection, and loss of serum HBsAg is associated with a functional cure of HBV, characterized by no inflammation, normal liver enzymes, and normal liver biopsy. Therefore, HBsAg is the target of several therapeutic approaches, including indirect ones such as siRNA mentioned above, but also specific approaches including the inhibition of HBsAg release.</w:t>
      </w:r>
    </w:p>
    <w:p>
      <w:pPr>
        <w:spacing w:after="0" w:line="71" w:lineRule="exact"/>
        <w:rPr>
          <w:rFonts w:ascii="Times New Roman" w:cs="Times New Roman" w:eastAsia="Times New Roman" w:hAnsi="Times New Roman"/>
          <w:sz w:val="18"/>
          <w:szCs w:val="18"/>
          <w:color w:val="auto"/>
        </w:rPr>
      </w:pPr>
    </w:p>
    <w:p>
      <w:pPr>
        <w:ind w:left="1200" w:right="380" w:hanging="598"/>
        <w:spacing w:after="0" w:line="256"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modulators of the human immune system, or immunomodulators, another major mechanism being researched. HBV has evolved to evade the natural host immune mechanisms that normally would clear a viral infection, thus approaches that can augment the immune response are being actively pursued. In fact, interferon has been used for the treatment of HBV for decades and while it can induce a functional cure, the cure is only seen in a small percentage of patients and the treatment is generally not well tolerated. More targeted immunological approaches are being studied, including agonists of toll-like receptors, modulators of apoptotic signaling, and checkpoint inhibition.</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Also, while past attempts at developing successful therapeutic vaccines have been unsuccessful, efforts continue to develop an effective HBV vaccine, using new vaccine technologies. While there are effective antiviral medications prescribed for HBV, they generally have low true cure rates. Many companies are seeking to develop new HBV drugs that alone or in combination with other mechanisms could lead to a functional cure of HBV. Arbutus, Assembly, Gilead, HEC, GSK, Johnson &amp; Johnson, Maxwell, Replicor, Roche, Spring Bank and Vir have Phase 2 programs in progress, with many of these companies conducting earlier stage programs as well. In addition, a number of companies have Phase 1 or earlier stage HBV programs, including Aicuris, Aligos, Altimmune, Dicerna, ENYO, Hepion and Transgene.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HBV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294640</wp:posOffset>
            </wp:positionV>
            <wp:extent cx="4373880" cy="1560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7388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initially focusing on new core inhibitors that we expect to have an impact on capsid assembly and possibly interfere with other viral processes. Core inhibitors, also known as capsid assembly modulators or core protein allosteric modulators, are a novel class of replication inhibitors that have been shown to act at multiple steps in the HBV lifecycle. These inhibitors would be expected to prevent proper uncoating, nuclear import, assembly, and recycling. This approach is supported by early clinical validation, with the core inhibitor NVR 3-778 from Novira, JNJ-56136379 from Janssen, and ABI-H0731 from Assembly, demonstrating clinical reduction of viral DNA in chronic HBV patients in short-term Phase 1b or Phase 2 clinical studies.</w:t>
      </w:r>
    </w:p>
    <w:p>
      <w:pPr>
        <w:spacing w:after="0" w:line="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2019, we identified our first core inhibitor candidate, EDP-514, for which we initiated a Phase 1a/1b study in mid-2019. In addition, we are conducting preclinical experiments with other mechanisms that target HBV. Due to the complex nature of HBV infection, it is widely believed that combination therapy may be necessary to provide the optimal therapeutic approach for this disease.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Out-Licensed HCV Protease Inhibitor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Overview of HCV Market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estimated 71 million people worldwide are chronically infected with HCV and have an increased risk of eventually developing liver cirrhosis or liver cancer. Approximately 399,000 people die every year from HCV-related liver diseases. The CDC currently estimates that approximately 2.4 million people in the United States are chronically infected with HCV, with an estimated 44,300 new infections in 2017, the most recent year for which the CDC has published data. We believe that the chronically infected population remains significantly untreated, even with the introduction of several new regimens beginning in 2013.</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approved treatments for HCV have provided significant benefit to HCV patients.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 For AbbVie’s MAVYRET/MAVIRET regimen, the majority of chronic HCV patients only require 8 weeks of treatment compared to 12 weeks with other HCV regimens, including Gilead’s EPCLUSA® and HARVONI® in almost all HCV genotypes.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Since the introduction of Gilead’s Harvoni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AbbVie’s VIEKIRA PAK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late 2014, the reported worldwide sales of the leading HCV therapies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declined from $23 billion in 2015 to approximately $8 billion in 2018. Through the first nine months of calendar 2019, reported worldwide net sales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billion. HCV sales have declined since their peak in 2015 due to payers obtaining additional discounts, competitive market dynamics and a decline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patients treated annually after the initial wave of diagnosed chronic HCV patients who had urgency for treatment. After the regulatory approvals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MAVYRET and Gilead’s VOSEVI in 2017, Johnson &amp; Johnson and Merck announced they had terminated their development of additional HCV treatments.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 high numbers of HCV patients that have been successfully treated, there remains a large population of chronic HCV-infected patients who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yet to be treated with one of the newer “high cure” regimens. In addition, and as noted above, new HCV infections (principally in association with IV drug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are an ongoing target population for treatment.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 in AbbVie’s Marketed Therapies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Glecaprevir </w:t>
      </w:r>
      <w:r>
        <w:rPr>
          <w:rFonts w:ascii="Times New Roman" w:cs="Times New Roman" w:eastAsia="Times New Roman" w:hAnsi="Times New Roman"/>
          <w:sz w:val="18"/>
          <w:szCs w:val="18"/>
          <w:color w:val="auto"/>
        </w:rPr>
        <w:t>- Our protease inhibitor, glecaprevir, which is part of the latest HCV regimen from AbbVie, was developed by AbbVie in combination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pibrentasvir, AbbVie’s second NS5A inhibitor. This co-formulated combination, marketed under the tradenames MAVYRET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(U.S.) and MAVIRET™ (ex-U.S.), contains two novel DAAs that target and inhibit proteins essential for the replication of the hepatitis C virus. MAVYRET/MAVIRET is approved in the U.S., EU, Japan and numerous other countries globally as an 8-week, pan-genotypic, fixed-dose combination treatment, dosed once-daily as three oral tablets, taken with food, for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(CKD) or those with genotype 3 chronic HCV. MAVYRET/MAVIRET is approved for use in patients across all stages of CKD with any of the major HCV genotypes (GT1-6). The approvals of MAVYRET/MAVIRET are supported by data from nine registrational studies in AbbVie’s clinical development program, which evaluated more than 2,300 patients in 27 countries across all major HCV genotypes (GT1-6) and special populations:</w:t>
      </w:r>
    </w:p>
    <w:p>
      <w:pPr>
        <w:spacing w:after="0" w:line="78" w:lineRule="exact"/>
        <w:rPr>
          <w:sz w:val="20"/>
          <w:szCs w:val="20"/>
          <w:color w:val="auto"/>
        </w:rPr>
      </w:pPr>
    </w:p>
    <w:p>
      <w:pPr>
        <w:jc w:val="both"/>
        <w:ind w:left="1200" w:right="420" w:hanging="598"/>
        <w:spacing w:after="0" w:line="303" w:lineRule="auto"/>
        <w:tabs>
          <w:tab w:leader="none" w:pos="12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8 weeks for treatment-naïve, non-cirrhotics: </w:t>
      </w:r>
      <w:r>
        <w:rPr>
          <w:rFonts w:ascii="Times New Roman" w:cs="Times New Roman" w:eastAsia="Times New Roman" w:hAnsi="Times New Roman"/>
          <w:sz w:val="17"/>
          <w:szCs w:val="17"/>
          <w:color w:val="auto"/>
        </w:rPr>
        <w:t>In November 2016, results from several Phase 3 studies of this combination demonstrated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97.5% of chronic HCV infected patients without cirrhosis and new to treatment across all major genotypes (GT1-6) achieved sustained virologic response at 12 weeks post-treatment, referred to as SVR</w:t>
      </w:r>
      <w:r>
        <w:rPr>
          <w:rFonts w:ascii="Times New Roman" w:cs="Times New Roman" w:eastAsia="Times New Roman" w:hAnsi="Times New Roman"/>
          <w:sz w:val="14"/>
          <w:szCs w:val="14"/>
          <w:color w:val="auto"/>
        </w:rPr>
        <w:t>12</w:t>
      </w:r>
      <w:r>
        <w:rPr>
          <w:rFonts w:ascii="Times New Roman" w:cs="Times New Roman" w:eastAsia="Times New Roman" w:hAnsi="Times New Roman"/>
          <w:sz w:val="17"/>
          <w:szCs w:val="17"/>
          <w:color w:val="auto"/>
        </w:rPr>
        <w:t>, with just 8 weeks of MAVYRET/MAVIRET treatment.</w:t>
      </w:r>
    </w:p>
    <w:p>
      <w:pPr>
        <w:spacing w:after="0" w:line="15" w:lineRule="exact"/>
        <w:rPr>
          <w:rFonts w:ascii="Times New Roman" w:cs="Times New Roman" w:eastAsia="Times New Roman" w:hAnsi="Times New Roman"/>
          <w:sz w:val="17"/>
          <w:szCs w:val="17"/>
          <w:color w:val="auto"/>
        </w:rPr>
      </w:pPr>
    </w:p>
    <w:p>
      <w:pPr>
        <w:ind w:left="1200" w:right="80" w:hanging="598"/>
        <w:spacing w:after="0" w:line="268"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with chronic kidney disease: </w:t>
      </w:r>
      <w:r>
        <w:rPr>
          <w:rFonts w:ascii="Times New Roman" w:cs="Times New Roman" w:eastAsia="Times New Roman" w:hAnsi="Times New Roman"/>
          <w:sz w:val="18"/>
          <w:szCs w:val="18"/>
          <w:color w:val="auto"/>
        </w:rPr>
        <w:t>Results were also presented from AbbVie’s EXPEDITION-4 study in chronic HCV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kidney disease (CKD), in which 98% of patients (n=102/104) across all major genotypes (GT1-6) achieved SVR</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with 12 weeks of treatment with MAVYRET/MAVIRET.</w:t>
      </w:r>
    </w:p>
    <w:p>
      <w:pPr>
        <w:spacing w:after="0" w:line="62" w:lineRule="exact"/>
        <w:rPr>
          <w:rFonts w:ascii="Times New Roman" w:cs="Times New Roman" w:eastAsia="Times New Roman" w:hAnsi="Times New Roman"/>
          <w:sz w:val="18"/>
          <w:szCs w:val="18"/>
          <w:color w:val="auto"/>
        </w:rPr>
      </w:pPr>
    </w:p>
    <w:p>
      <w:pPr>
        <w:jc w:val="both"/>
        <w:ind w:left="1200" w:right="360" w:hanging="598"/>
        <w:spacing w:after="0" w:line="268"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GT-3: </w:t>
      </w:r>
      <w:r>
        <w:rPr>
          <w:rFonts w:ascii="Times New Roman" w:cs="Times New Roman" w:eastAsia="Times New Roman" w:hAnsi="Times New Roman"/>
          <w:sz w:val="18"/>
          <w:szCs w:val="18"/>
          <w:color w:val="auto"/>
        </w:rPr>
        <w:t>Data from AbbVie’s ENDURANCE-3 study were presented at the 2017 ILC, demonstrating that 95% of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challenging-to-treat, genotype 3 (GT3) chronic HCV infection, without cirrhosis and new to treatment, achieved SVR</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after 8 weeks of treatment with MAVYRET/MAVIRET.</w:t>
      </w:r>
    </w:p>
    <w:p>
      <w:pPr>
        <w:spacing w:after="0" w:line="62" w:lineRule="exact"/>
        <w:rPr>
          <w:rFonts w:ascii="Times New Roman" w:cs="Times New Roman" w:eastAsia="Times New Roman" w:hAnsi="Times New Roman"/>
          <w:sz w:val="18"/>
          <w:szCs w:val="18"/>
          <w:color w:val="auto"/>
        </w:rPr>
      </w:pPr>
    </w:p>
    <w:p>
      <w:pPr>
        <w:ind w:left="1200" w:right="220" w:hanging="598"/>
        <w:spacing w:after="0" w:line="262"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8 weeks for compensated cirrhosis: </w:t>
      </w:r>
      <w:r>
        <w:rPr>
          <w:rFonts w:ascii="Times New Roman" w:cs="Times New Roman" w:eastAsia="Times New Roman" w:hAnsi="Times New Roman"/>
          <w:sz w:val="18"/>
          <w:szCs w:val="18"/>
          <w:color w:val="auto"/>
        </w:rPr>
        <w:t>Based on data from AbbVie’s EXPEDITION-8 study, which demonstrated that with 8 weeks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MAVYRET treatment, 100 percent (n=273/273) of genotype 1, 2, 4, 5 and 6 patients achieved a sustained virologic response 8 weeks after treatment (SVR</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 per protocol analysis. Based on this data and a second cohort of the study in genotype 3 (GT3) chronic HCV-infected patients, MAVYRET is now approved for all genotypes with compensated cirrhosis in the U.S.</w:t>
      </w:r>
    </w:p>
    <w:p>
      <w:pPr>
        <w:spacing w:after="0" w:line="69"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Paritaprevir </w:t>
      </w:r>
      <w:r>
        <w:rPr>
          <w:rFonts w:ascii="Times New Roman" w:cs="Times New Roman" w:eastAsia="Times New Roman" w:hAnsi="Times New Roman"/>
          <w:sz w:val="18"/>
          <w:szCs w:val="18"/>
          <w:color w:val="auto"/>
        </w:rPr>
        <w:t>- The first protease inhibitor developed through our collaboration with AbbVie, paritaprevir, is part of AbbVie’s 3-DAA regimen approved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treatment of genotype 1 and 4 HCV patients. This 3-DAA combination was sold as VIEKIRA PAK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(paritaprevir/ritonavir/ombitasvir/dasabuvir) in the U.S. from December 2014 to December 2018, and as VIEKIRAX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+EXVIERA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most other jurisdictions, for non-cirrhotic patients and those with early stage, or compensated, cirrhosis. These regimens are in the process of being replaced by MAVYRET/MAVIRET in jurisdictions around the world wherever the latter is approved for use.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AbbVie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research program and the evaluation period, which was performed by both parties, ended in June 2011. The first commercialized compound was paritaprevir with the second commercialized compound, glecaprevir, approved in 2017 and marketed under the tradenames MAVYRET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(U.S.) or MAVIRET™ (ex-U.S.). Under this collaboration we have received payments from AbbVie for license fees, proceeds from a sale of preferred stock, research funding payments and milestone payments totaling $396.0 million through September 30, 2019.</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receive annually tiered, double-digit royalties per protease inhibitor product developed under the agreement, which range from ten percent up to twenty percent, or on a blended basis from the low double digits up to the high teens. However, if a product is determined to be a combination product, as is the case for both glecaprevir and paritaprevir, the net sales of the combination product are adjusted on a country-by-country and product-by-product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royalty-bearing portion is multiplied by the annually tiered royalty rates to determine our actual royalty for the protease product in that regimen in a given period. Under the terms of our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a given royalty-bearing protease inhibitor product start at zero for purposes of calculating the tiered royalties on a product-by-product basis. Under this collaboration, we have received royalty payments from AbbVie totaling $475.0 million through September 30, 2019. Further details of these tiered royalties are set forth in Note 7 in Notes to Consolidated Financial Statements included in this report, which are incorporated herein by this reference.</w:t>
      </w:r>
    </w:p>
    <w:p>
      <w:pPr>
        <w:spacing w:after="0" w:line="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7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 title and interest in any related product trademarks, regulatory filings and clinical trials.</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AbbVie terminates the agreement for our uncured breach, the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Discovery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internally discovered all of the compounds in our research and development programs. Our scientists have expertise in the areas of medicinal chemistry, molecular virology, pharmacology, and toxicology with highly developed sets of skills in compound generation, target selection, screening and pharmacology, preclinical development and lead optimization. We are utilizing these skills and capabilities in our discovery and development of virology and liver disease product candidates.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focus on virology and liver disease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structure-activity relationships to assist lead optimization and secure relevant intellectual property rights. Once we have identified lead compounds, they are tested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studies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research models of antiviral or antibacterial efficacy.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NASH, PBC, RSV and HBV and other viral infections or liver diseases that we may target in the future.</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7" w:name="page18"/>
    <w:bookmarkEnd w:id="17"/>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 products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medical, regulatory, sales and marketing and commercial personnel;</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and/or other proprietary protection for our processes and product candidates;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or</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others in the development and commercialization of new products.</w:t>
      </w:r>
    </w:p>
    <w:p>
      <w:pPr>
        <w:spacing w:after="0" w:line="1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to overcome competition and to be commercially successful.</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fixed-dose combination of sofosbuvir and ledipasvir); and to a lesser extent - Merck’s Zepatier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fixed-dose combination of grazoprevir and elbasvir). Gilead launched its own authorized generic versions of Epclusa and Harvoni in January 2019 through a newly created subsidiary, Asegua Therapeutics, LLC, to be more competitive with MAVYRET/MAVIRET in managed Medicaid and Medicare Part D accounts. Then in March 2019, the state of Louisiana announced the selection of Asegua Therapeutics as their HCV subscription model pharmaceutical partner to reflect more closely the discounts that health insurers and government payers receive for the branded versions of Epclusa and Harvoni and to provide the state with unrestricted access to its direct-acting antiviral medication. Other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w:t>
      </w:r>
    </w:p>
    <w:p>
      <w:pPr>
        <w:spacing w:after="0" w:line="8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Competitive products in the form of other treatment methods or a vaccine for HCV may render AbbVie’s MAVYRET/MAVIRET obsolete or noncompetitive. This regimen will continue to face competition based on its price, reimbursement coverage, AbbVie’s marketing and sales capabilities, patent position, safety and effectiveness, and other factors. If any of AbbVie’s HCV regimens face competition from generic products other than authorized generic versions by the manufacturer of the branded product (i.e. Gilead and Asegua Therapeutics),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6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Intercept Pharmaceuticals has completed a Phase 3 trial of OCALIVA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NASH and has submitted regulatory filings in the U.S. for approval of OCA in NASH and plans to submit European regulatory filings in calendar Q4 2019. We are aware of several other companies with NASH programs that are significantly more advanced than ours, including companies with compounds in Phase 3 clinical trials in NASH, namely Allergan, Galmed, Genfit and Madrigal. In addition, a number of companies have NASH or related programs with compounds in Phase 2 clinical trials. These companies include Akero, Alberio, Astra-Zeneca, BMS, Boehringer Ingelheim, Can-Fite BioPharma, Cirius, Cymabay, Galectin, Gilead, GlaxoSmithKline, Immuron, Inventiva, Ionis, Lipocine, Medicinova, Metacrine, Northsea Therapeutics, Novartis, NGM, Novo Nordisk, Pfizer, Poxel, Second Genome, Viking and Zydus. For PBC, in May 2016, the FDA granted conditional approval for Intercept’s FXR agonist, OCA for the treatment of PBC in combination with first line therapy ursodeoxycholic acid (UDCA) in adults with an inadequate response to UDCA, or as monotherapy in adults unable to tolerate UDCA. In addition, several other companies are conducting advanced trials in PBC, including Cymabay (Phase 3) and Genfit (Phase 2 completed). A significant number of other companies are conducting earlier stage clinical trials that may be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applicable in NASH, PBC and other cholestatic diseases. There are also additional companies conducting preclinical studies in these disease areas.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Assembly, Gilead, HEC, GSK, Johnson &amp; Johnson, Maxwell, Replicor, Roche, Spring Bank and Vir have Phase 2 programs in progress, with many of these companies conducting earlier stage programs as well. In addition, a number of companies have Phase 1 or earlier stage HBV programs, including Aicuris, Aligos, Altimmune, Dicerna, ENYO, Hepion and Transgene.</w:t>
      </w:r>
    </w:p>
    <w:p>
      <w:pPr>
        <w:spacing w:after="0" w:line="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RSV, there are currently no safe and effective therapies for already established RSV infection. Several companies are seeking new antiviral treatments for RSV infection in adult and pediatric patients. Ark Biosciences, Johnson &amp; Johnson, and ReViral each have compounds in clinical development.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of our major programs, including RSV, NASH, PBC, HBV and HCV, typically has several issued patents and pending patent claims in the program area containing claims to compounds, methods of use and processes for synthesis. However, only a few of the issued patents and/or pending patent applications cover the lead product candidate in a given program.</w:t>
      </w:r>
    </w:p>
    <w:p>
      <w:pPr>
        <w:spacing w:after="0" w:line="6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RSV, NASH, PBC and HBV Programs. </w:t>
      </w:r>
      <w:r>
        <w:rPr>
          <w:rFonts w:ascii="Times New Roman" w:cs="Times New Roman" w:eastAsia="Times New Roman" w:hAnsi="Times New Roman"/>
          <w:sz w:val="18"/>
          <w:szCs w:val="18"/>
          <w:color w:val="auto"/>
        </w:rPr>
        <w:t>Our patent portfolio directed to N-and L-protein inhibitors for RSV, FXR agonists and ASK-1 inhibitors for NASH,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PBC and fibrosis, and core inhibitors for HBV includes pending U.S. patent applications as well as numerous foreign patent applications.</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HCV NS3 Protease Inhibitor Program. </w:t>
      </w:r>
      <w:r>
        <w:rPr>
          <w:rFonts w:ascii="Times New Roman" w:cs="Times New Roman" w:eastAsia="Times New Roman" w:hAnsi="Times New Roman"/>
          <w:sz w:val="18"/>
          <w:szCs w:val="18"/>
          <w:color w:val="auto"/>
        </w:rPr>
        <w:t>The patent portfolio directed to the HCV protease inhibitor program with AbbVie includes U.S. patents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as well as non-provisional applications. The issued U.S. composition-of-matter patent covering paritaprevir is expected to expire in 2031. The issued U.S. composition-of-matter patent covering glecaprevir is expected to expire in 2032. AbbVie is a joint owner of a number of the non-provisional patent applications. AbbVie also has rights to some or all of these patents and patent applications pursuant to its collaboration agreement with us.</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ind w:right="280"/>
        <w:spacing w:after="0" w:line="256" w:lineRule="auto"/>
        <w:rPr>
          <w:sz w:val="20"/>
          <w:szCs w:val="20"/>
          <w:color w:val="auto"/>
        </w:rPr>
      </w:pPr>
      <w:r>
        <w:rPr>
          <w:rFonts w:ascii="Times New Roman" w:cs="Times New Roman" w:eastAsia="Times New Roman" w:hAnsi="Times New Roman"/>
          <w:sz w:val="18"/>
          <w:szCs w:val="18"/>
          <w:color w:val="auto"/>
        </w:rPr>
        <w:t>In addition, we jointly own patent applications, together with AbbVie, that claim paritaprevir and glecaprevir as a chemical entity. However, there is no guarantee that such applications will issue. 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 Risks Related to Our Intellectual Property Rights.”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Process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17" w:lineRule="exact"/>
        <w:rPr>
          <w:sz w:val="20"/>
          <w:szCs w:val="20"/>
          <w:color w:val="auto"/>
        </w:rPr>
      </w:pPr>
    </w:p>
    <w:p>
      <w:pPr>
        <w:ind w:left="1200" w:right="140" w:hanging="598"/>
        <w:spacing w:after="0" w:line="282"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Good Laboratory Practice, or GLPs, or other applicable regulations;</w:t>
      </w:r>
    </w:p>
    <w:p>
      <w:pPr>
        <w:spacing w:after="0" w:line="53" w:lineRule="exact"/>
        <w:rPr>
          <w:rFonts w:ascii="Times New Roman" w:cs="Times New Roman" w:eastAsia="Times New Roman" w:hAnsi="Times New Roman"/>
          <w:sz w:val="18"/>
          <w:szCs w:val="18"/>
          <w:color w:val="auto"/>
        </w:rPr>
      </w:pPr>
    </w:p>
    <w:p>
      <w:pPr>
        <w:ind w:left="1200" w:right="240" w:hanging="598"/>
        <w:spacing w:after="0" w:line="282"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an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200" w:right="560" w:hanging="598"/>
        <w:spacing w:after="0" w:line="282"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current Good Clinical Practice, or GCPs, to establish the safety and efficacy of the proposed drug for its intended use;</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an NDA, for a new drug product;</w:t>
      </w:r>
    </w:p>
    <w:p>
      <w:pPr>
        <w:spacing w:after="0" w:line="117" w:lineRule="exact"/>
        <w:rPr>
          <w:rFonts w:ascii="Times New Roman" w:cs="Times New Roman" w:eastAsia="Times New Roman" w:hAnsi="Times New Roman"/>
          <w:sz w:val="18"/>
          <w:szCs w:val="18"/>
          <w:color w:val="auto"/>
        </w:rPr>
      </w:pPr>
    </w:p>
    <w:p>
      <w:pPr>
        <w:ind w:left="1200" w:right="180" w:hanging="598"/>
        <w:spacing w:after="0" w:line="266"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0" w:name="page21"/>
    <w:bookmarkEnd w:id="20"/>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NDA;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lengthy process of seeking required approvals, which can often take anywhere from six months from the time the NDA is filed if there is a priority review for a breakthrough therapy to twelve months for a standard review, and the continuing need for compliance with applicable statutes and regulations require the expenditure of substantial resources. There can be no certainty that approvals will be granted.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prior to approval are typically conducted in three sequential phases that may overlap or be combined:</w:t>
      </w:r>
    </w:p>
    <w:p>
      <w:pPr>
        <w:spacing w:after="0" w:line="115" w:lineRule="exact"/>
        <w:rPr>
          <w:sz w:val="20"/>
          <w:szCs w:val="20"/>
          <w:color w:val="auto"/>
        </w:rPr>
      </w:pPr>
    </w:p>
    <w:p>
      <w:pPr>
        <w:ind w:left="1200" w:hanging="598"/>
        <w:spacing w:after="0" w:line="267"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initially introduced into healthy humans and tested for safety, dosage tolerance, absorption, metabolism, distribution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65" w:lineRule="exact"/>
        <w:rPr>
          <w:rFonts w:ascii="Times New Roman" w:cs="Times New Roman" w:eastAsia="Times New Roman" w:hAnsi="Times New Roman"/>
          <w:sz w:val="18"/>
          <w:szCs w:val="18"/>
          <w:color w:val="auto"/>
        </w:rPr>
      </w:pPr>
    </w:p>
    <w:p>
      <w:pPr>
        <w:ind w:left="1200" w:right="140" w:hanging="598"/>
        <w:spacing w:after="0" w:line="267"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is evaluated in a limited patient population to identify possible adverse effects and safety risks, to 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and to determine dosage tolerance, optimal dosage and dosing schedule for patients having the specific disease.</w:t>
      </w:r>
    </w:p>
    <w:p>
      <w:pPr>
        <w:spacing w:after="0" w:line="65" w:lineRule="exact"/>
        <w:rPr>
          <w:rFonts w:ascii="Times New Roman" w:cs="Times New Roman" w:eastAsia="Times New Roman" w:hAnsi="Times New Roman"/>
          <w:sz w:val="18"/>
          <w:szCs w:val="18"/>
          <w:color w:val="auto"/>
        </w:rPr>
      </w:pPr>
    </w:p>
    <w:p>
      <w:pPr>
        <w:ind w:left="1200" w:right="100" w:hanging="598"/>
        <w:spacing w:after="0" w:line="261"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7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by the investigators for serious and unexpected adverse events or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1" w:name="page22"/>
    <w:bookmarkEnd w:id="21"/>
    <w:p>
      <w:pPr>
        <w:ind w:right="140"/>
        <w:spacing w:after="0" w:line="258" w:lineRule="auto"/>
        <w:rPr>
          <w:sz w:val="20"/>
          <w:szCs w:val="20"/>
          <w:color w:val="auto"/>
        </w:rPr>
      </w:pPr>
      <w:r>
        <w:rPr>
          <w:rFonts w:ascii="Times New Roman" w:cs="Times New Roman" w:eastAsia="Times New Roman" w:hAnsi="Times New Roman"/>
          <w:sz w:val="18"/>
          <w:szCs w:val="18"/>
          <w:color w:val="auto"/>
        </w:rPr>
        <w:t>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twelve months in which to complete its initial review of a standard NDA and respond to the applicant, and six months for a priority NDA. The FDA does not always meet its PDUFA goal dates for standard and priority NDAs.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2" w:name="page23"/>
    <w:bookmarkEnd w:id="22"/>
    <w:p>
      <w:pPr>
        <w:ind w:right="20"/>
        <w:spacing w:after="0" w:line="258" w:lineRule="auto"/>
        <w:rPr>
          <w:sz w:val="20"/>
          <w:szCs w:val="20"/>
          <w:color w:val="auto"/>
        </w:rPr>
      </w:pPr>
      <w:r>
        <w:rPr>
          <w:rFonts w:ascii="Times New Roman" w:cs="Times New Roman" w:eastAsia="Times New Roman" w:hAnsi="Times New Roman"/>
          <w:sz w:val="18"/>
          <w:szCs w:val="18"/>
          <w:color w:val="auto"/>
        </w:rPr>
        <w:t>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w:t>
      </w:r>
    </w:p>
    <w:p>
      <w:pPr>
        <w:spacing w:after="0" w:line="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6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3" w:name="page24"/>
    <w:bookmarkEnd w:id="23"/>
    <w:p>
      <w:pPr>
        <w:ind w:right="80"/>
        <w:spacing w:after="0" w:line="256" w:lineRule="auto"/>
        <w:rPr>
          <w:sz w:val="20"/>
          <w:szCs w:val="20"/>
          <w:color w:val="auto"/>
        </w:rPr>
      </w:pPr>
      <w:r>
        <w:rPr>
          <w:rFonts w:ascii="Times New Roman" w:cs="Times New Roman" w:eastAsia="Times New Roman" w:hAnsi="Times New Roman"/>
          <w:sz w:val="18"/>
          <w:szCs w:val="18"/>
          <w:color w:val="auto"/>
        </w:rPr>
        <w:t>signature requirements and complying with FDA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Price Competition and Patent Term Restoration Act of 1984</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Food, Drug and Cosmetic Act (“FDCA”)</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approved any other new drug containing the same active moiety, which is the molecule or functional group of a molecule responsible for the action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substance. During the exclusivity period, the FDA may not accept for review an abbreviated new drug application, or ANDA, or a so-called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505(b)(2) NDA, submitted by another company for another version of such drug where the applicant does not own or have a legal right of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the data required for approval. However, such an application may be submitted after four years if it contains a certification of patent invalidity or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infringement to one of the patents listed with the FDA by the innovator NDA holder. The FDCA also provides three years of marketing exclusivity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NDA, or supplement to an existing NDA if new clinical investigations, other than bioavailability studies, that were conducted or sponsored by the applicant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deemed by the FDA to be essential to the approval of the application, for example new indications, dosages or strengths of an existing drug. This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exclusivity covers only the conditions associated with the new clinical investigations and does not prohibit the FDA from approving ANDAs for drugs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containing the original active agent. Five-year and three-year exclusivity will not delay the submission or approval of a full NDA. However, an applicant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submitting a full NDA would be required to conduct or obtain a right of reference to all of the preclinical studies and adequate and well-controlled clinical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trials necessary to demonstrate safety and effectiveness.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Office of Inspector General), the United States Department of Justice and individual United States Attorney offices within the Department of Justice, state attorney generals and state and local governments. For example, sales, marketing and scientific/educational grant programs must comply with the anti-fraud and abuse provisions of the Social Security Act, the False Claims Act, the privacy and security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9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5" w:name="page26"/>
    <w:bookmarkEnd w:id="25"/>
    <w:p>
      <w:pPr>
        <w:ind w:right="600"/>
        <w:spacing w:after="0" w:line="266" w:lineRule="auto"/>
        <w:rPr>
          <w:sz w:val="20"/>
          <w:szCs w:val="20"/>
          <w:color w:val="auto"/>
        </w:rPr>
      </w:pPr>
      <w:r>
        <w:rPr>
          <w:rFonts w:ascii="Times New Roman" w:cs="Times New Roman" w:eastAsia="Times New Roman" w:hAnsi="Times New Roman"/>
          <w:sz w:val="18"/>
          <w:szCs w:val="18"/>
          <w:color w:val="auto"/>
        </w:rPr>
        <w:t>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Federal, state and local governments in the United States continue to consider legislation to limit the growth of healthcare costs, including the cost of prescription drugs. Future legislation could limit payments for pharmaceuticals such as the product candidates that we are developing.</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known as the Affordable Care Act (“ACA”), substantially changed the way healthcare is financed by both governmental and private insurers, and significantly impacted the pharmaceutical industry.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The comprehensive overhaul extended coverage to approximately 20 million previously uninsured Americans. Since its adoption, the ACA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for performance initiatives and improvements to the physician quality reporting system and feedback program. Additionally, the Affordable Care Act, as limited by the United States Supreme Court’s decision in June 2012:</w:t>
      </w:r>
    </w:p>
    <w:p>
      <w:pPr>
        <w:spacing w:after="0" w:line="76" w:lineRule="exact"/>
        <w:rPr>
          <w:sz w:val="20"/>
          <w:szCs w:val="20"/>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minimum level of Medicaid rebates payable by manufacturers of brand-name drugs from 15.1% to 23.1%;</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w:t>
      </w:r>
    </w:p>
    <w:p>
      <w:pPr>
        <w:spacing w:after="0" w:line="117" w:lineRule="exact"/>
        <w:rPr>
          <w:rFonts w:ascii="Times New Roman" w:cs="Times New Roman" w:eastAsia="Times New Roman" w:hAnsi="Times New Roman"/>
          <w:sz w:val="18"/>
          <w:szCs w:val="18"/>
          <w:color w:val="auto"/>
        </w:rPr>
      </w:pPr>
    </w:p>
    <w:p>
      <w:pPr>
        <w:ind w:left="1200" w:right="160" w:hanging="598"/>
        <w:spacing w:after="0" w:line="266"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68" w:lineRule="exact"/>
        <w:rPr>
          <w:rFonts w:ascii="Times New Roman" w:cs="Times New Roman" w:eastAsia="Times New Roman" w:hAnsi="Times New Roman"/>
          <w:sz w:val="18"/>
          <w:szCs w:val="18"/>
          <w:color w:val="auto"/>
        </w:rPr>
      </w:pPr>
    </w:p>
    <w:p>
      <w:pPr>
        <w:ind w:left="1200" w:right="20" w:hanging="598"/>
        <w:spacing w:after="0" w:line="282"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 non-deductible annual fee on pharmaceutical manufacturers or importers who sell “branded prescription drugs” to specified federal government programs.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 recently, President Trump and the Republicans in both houses of the U.S. Congress have been seeking to repeal or replace all or portions of the ACA but to date they have been unable to agree on any such legislation. On December 14, 2018, a United States District Court judge in Texas ruled that the ACA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ACA will impact the ACA. We cannot predict what legislation, if any, to repeal or replace the ACA will become law, or what impact any such legislation, or the Texas court challenge, may have on our product candidates or on AbbVie’s sales of MAVYRET/MAVIRET.</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$142.2 million, $94.9 million and $57.5 million for the fiscal years ended September 30, 2019, 2018, and 2017,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do not have our own manufacturing capabilities, except with respect to limited amounts of active pharmaceutical ingredients needed for preclinical development. To date, we have relied on third-party manufacturers, including manufacturers in China, for supply of active pharmaceutical ingredients and ingredients for use in clinical trials of our product candidates. We also expect that in the future we will rely on such manufacturers to produce commercial quantities of any product candidates that we commercialize ourselves. Manufacturing for paritaprevir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ind w:right="280"/>
        <w:spacing w:after="0" w:line="282" w:lineRule="auto"/>
        <w:rPr>
          <w:sz w:val="20"/>
          <w:szCs w:val="20"/>
          <w:color w:val="auto"/>
        </w:rPr>
      </w:pPr>
      <w:r>
        <w:rPr>
          <w:rFonts w:ascii="Times New Roman" w:cs="Times New Roman" w:eastAsia="Times New Roman" w:hAnsi="Times New Roman"/>
          <w:sz w:val="18"/>
          <w:szCs w:val="18"/>
          <w:color w:val="auto"/>
        </w:rPr>
        <w:t>glecaprevir are conducted by AbbVie. Wherever possible, we seek to identify multiple suppliers for raw materials and key intermediaries to be used in our manufacturing process.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do not have any commercialization or sales and marketing capabilities, and currently have no fixed plans to invest in or build such capabilities internally. We have partnered our protease inhibitor compounds for HCV with AbbVie. We may also partner or collaborate with, or license commercial rights to, other larger pharmaceutical or biopharmaceutical companies to support the development of one or more of our wholly-owned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Delaware corporation, incorporated in 1995. Our principal executive offices are located at 500 Arsenal Street, Watertown, Massachusetts 02472, and our telephone number is (617) 607-0800. Our web site address is http://www.enanta.com.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provide segment information in Note 2 to our Consolidated Financial Statements included in Item 8 of this report. We are incorporating that information into this section by this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2019, we had 132 full-time employees, 65 of whom hold Ph.D. or M.D. degrees. None of our employees are subject to a collective bargaining agreement or represented by a trade or labor union. We consider our relations with our employees to be good.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Internet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Investors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Enanta Pharmaceuticals, Inc. and other issuers that file electronically with the SEC. The SEC’s Internet website address is http://www.sec.gov.</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8" w:name="page29"/>
    <w:bookmarkEnd w:id="28"/>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76" w:lineRule="exact"/>
        <w:rPr>
          <w:sz w:val="20"/>
          <w:szCs w:val="20"/>
          <w:color w:val="auto"/>
        </w:rPr>
      </w:pPr>
    </w:p>
    <w:p>
      <w:pPr>
        <w:ind w:left="1200" w:right="14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maintain satisfactory levels of prescriptions by physicians and reimbursement by third-party payers for the MAVYRET/MAVIRET regimen in the various markets of the world where it is being sold;</w:t>
      </w:r>
    </w:p>
    <w:p>
      <w:pPr>
        <w:spacing w:after="0" w:line="53" w:lineRule="exact"/>
        <w:rPr>
          <w:rFonts w:ascii="Times New Roman" w:cs="Times New Roman" w:eastAsia="Times New Roman" w:hAnsi="Times New Roman"/>
          <w:sz w:val="18"/>
          <w:szCs w:val="18"/>
          <w:color w:val="auto"/>
        </w:rPr>
      </w:pPr>
    </w:p>
    <w:p>
      <w:pPr>
        <w:ind w:left="1200" w:right="10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compete successfully with its MAVYRET/MAVIRET regimen against other products and therapies for HCV, including competition for exclusive arrangements with third-party payers and governmental entities as well as price competition;</w:t>
      </w:r>
    </w:p>
    <w:p>
      <w:pPr>
        <w:spacing w:after="0" w:line="53" w:lineRule="exact"/>
        <w:rPr>
          <w:rFonts w:ascii="Times New Roman" w:cs="Times New Roman" w:eastAsia="Times New Roman" w:hAnsi="Times New Roman"/>
          <w:sz w:val="18"/>
          <w:szCs w:val="18"/>
          <w:color w:val="auto"/>
        </w:rPr>
      </w:pPr>
    </w:p>
    <w:p>
      <w:pPr>
        <w:ind w:left="1200" w:right="36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to comply with additional requests and recommendations from the FDA, including label restrictions for its regimen containing glecaprevir;</w:t>
      </w:r>
    </w:p>
    <w:p>
      <w:pPr>
        <w:spacing w:after="0" w:line="53" w:lineRule="exact"/>
        <w:rPr>
          <w:rFonts w:ascii="Times New Roman" w:cs="Times New Roman" w:eastAsia="Times New Roman" w:hAnsi="Times New Roman"/>
          <w:sz w:val="18"/>
          <w:szCs w:val="18"/>
          <w:color w:val="auto"/>
        </w:rPr>
      </w:pPr>
    </w:p>
    <w:p>
      <w:pPr>
        <w:ind w:left="1200" w:right="44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make all regulatory filings and obtain all necessary approvals from foreign regulatory agencies and all commercially necessary reimbursement approvals;</w:t>
      </w:r>
    </w:p>
    <w:p>
      <w:pPr>
        <w:spacing w:after="0" w:line="53" w:lineRule="exact"/>
        <w:rPr>
          <w:rFonts w:ascii="Times New Roman" w:cs="Times New Roman" w:eastAsia="Times New Roman" w:hAnsi="Times New Roman"/>
          <w:sz w:val="18"/>
          <w:szCs w:val="18"/>
          <w:color w:val="auto"/>
        </w:rPr>
      </w:pPr>
    </w:p>
    <w:p>
      <w:pPr>
        <w:ind w:left="1200" w:right="56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MAVYRET/MAVIRET, whether for competitive or strategic reasons or otherwise due to a change in business priorities;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cease to perform its obligations under the terms of our collaboration agreement;</w:t>
      </w:r>
    </w:p>
    <w:p>
      <w:pPr>
        <w:spacing w:after="0" w:line="117" w:lineRule="exact"/>
        <w:rPr>
          <w:rFonts w:ascii="Times New Roman" w:cs="Times New Roman" w:eastAsia="Times New Roman" w:hAnsi="Times New Roman"/>
          <w:sz w:val="18"/>
          <w:szCs w:val="18"/>
          <w:color w:val="auto"/>
        </w:rPr>
      </w:pPr>
    </w:p>
    <w:p>
      <w:pPr>
        <w:ind w:left="1200" w:right="28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unilaterally terminate our collaboration agreement on specified prior notice without any reason and without any further commitment; and</w:t>
      </w:r>
    </w:p>
    <w:p>
      <w:pPr>
        <w:spacing w:after="0" w:line="53" w:lineRule="exact"/>
        <w:rPr>
          <w:rFonts w:ascii="Times New Roman" w:cs="Times New Roman" w:eastAsia="Times New Roman" w:hAnsi="Times New Roman"/>
          <w:sz w:val="18"/>
          <w:szCs w:val="18"/>
          <w:color w:val="auto"/>
        </w:rPr>
      </w:pPr>
    </w:p>
    <w:p>
      <w:pPr>
        <w:ind w:left="1200" w:right="44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able to manufacture glecaprevir in compliance with requirements of the FDA and similar foreign regulatory agencies and in commercial quantities sufficient to meet market demand.</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AbbVie may also make decisions with which we do not agree. If AbbVie acts in a manner that is not in our best interest, then it could adversely affect our business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9" w:name="page30"/>
    <w:bookmarkEnd w:id="29"/>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AbbVie’s MAVYRET/MAVIRET regimen continues to be the leading HCV treatment in the U.S. and several market geographies in developed countries where it is approved even though in the U.S. it is priced well below the pricing of AbbVie’s first HCV regimens, and below that of its principal competitor, Gilead. While commercialization of this regimen is exclusively in AbbVie’s control without any required input from us, we believe it is possible that prices will decline further due to payers obtaining additional discounts or competitive market dynamics. For example, the states of Louisiana and Washington have each announced efforts to negotiate a blanket price for one of the HCV drug companies to treat all patients in one or more state programs (e.g. Medicaid). Gilead was awarded the contract in Louisiana and AbbVie was awarded the contract in Washington. It is unknown whether these programs or other programs that states may adopt could have an impact on MAVYRET/MAVIRET sales. There may also be fluctuations in AbbVie’s market share over time due to these and other competitive actions by Gilead.</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7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fixed-dose combination of sofosbuvir and ledipasvir); and to a lesser extent - Merck’s Zepatier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 fixed-dose combination of grazoprevir and elbasvir). Recently, Gilead announced plans to launch authorized generic versions of Epclusa and Harvoni in January 2019 through a newly created subsidiary, Asegua Therapeutics, LLC, which could have an impact on the competitive landscape. For example, in March 2019, the state of Louisiana announced the selection of Asegua Therapeutics as their HCV subscription model pharmaceutical partner to provide the state with unrestricted access to its direct-acting antiviral medication. Other competitive products in the form of other treatment methods or a vaccine for HCV may render AbbVie’s HCV regimens obsolete or noncompetitive.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8"/>
          <w:szCs w:val="18"/>
          <w:color w:val="auto"/>
        </w:rPr>
        <w:t>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other than authorized generic versions by the manufacturer of the branded product (i.e. Gilead and Asegua Therapeutics),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In February 2019, Intercept Pharmaceuticals announced positive Phase 3 trial results for OCA (brand name Ocaliva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NASH and has also signaled its intent to submit U.S. and European regulatory filings in the second half of calendar 2019 for approvals in this indication. We are aware of several other companies with NASH programs that are significantly more advanced than ours, including companies with compounds in Phase 3 clinical trials in NASH, namely Genfit, Madrigal and Tobira (Allergan). In addition, a number of companies have NASH or related programs with compounds in Phase 2 clinical trials. These companies include Akero, Alberio, Astra-Zeneca, BMS, Boehringer Ingelheim, Can-Fite BioPharma, Cirius, Cymabay, Galectin, Galmed, Gilead, GlaxoSmithKline, Immuron, Inventiva, Ionis, Lipocine, Medicinova, Metacrine, Northsea Therapeutics, Novartis, NGM, Novo Nordisk, Pfizer, Second Genome, Viking and Zydus. For PBC, in May 2016, the FDA granted conditional approval for Intercept’s FXR agonist, OCA for the treatment of PBC in combination with first line therapy ursodeoxycholic acid (UDCA) in adults with an inadequate response to UDCA, or as monotherapy in adults unable to tolerate UDCA. In addition, several other companies are conducting advanced trials in PBC, including Cymabay (Phase 3) and Genfit (Phase 2 completed). A significant number of other companies are conducting earlier stage clinical trials that may be applicable in NASH, PBC and other cholestatic diseases. There are also additional companies conducting preclinical studies in these disease areas.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Assembly, Gilead, HEC, Ionis, Johnson &amp; Johnson, Maxwell, Replicor, Roche and Spring Bank have Phase 2 programs in progress, with many of these companies conducting earlier stage programs as well. In addition, a number of companies have Phase 1 or earlier stage HBV programs, including Aicuris, Aligos, Altimmune, Arrowhead, Contravir, Dicerna, ENYO, Transgene and Vir.</w:t>
      </w:r>
    </w:p>
    <w:p>
      <w:pPr>
        <w:spacing w:after="0" w:line="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RSV, there are currently no safe and effective therapies for already established RSV infection. Several companies are seeking new antiviral treatments for RSV infection in adult and pediatric patients. Ark Biosciences, Johnson &amp; Johnson, Pulmocide and ReViral each have compounds in clinical development.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1" w:name="page32"/>
    <w:bookmarkEnd w:id="31"/>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PBC and HBV programs, we will need to successfully:</w:t>
      </w:r>
    </w:p>
    <w:p>
      <w:pPr>
        <w:spacing w:after="0" w:line="72" w:lineRule="exact"/>
        <w:rPr>
          <w:sz w:val="20"/>
          <w:szCs w:val="20"/>
          <w:color w:val="auto"/>
        </w:rPr>
      </w:pPr>
    </w:p>
    <w:p>
      <w:pPr>
        <w:ind w:left="1200" w:hanging="598"/>
        <w:spacing w:after="0" w:line="28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development of our product candidates and demonstrate acceptable safety and efficacy for them alone or in combination with other drugs or drug candidates;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future collaborations we may enter into for any of these programs;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protection for our product candidates and freedom from infringement of intellectual property of others;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acceptable commercial manufacturing arrangements with third-party manufacturers;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independently or in collaboration with future collaborators;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among physicians, payers and patients;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product candidates and expand our business or continue our operations.</w:t>
      </w:r>
    </w:p>
    <w:p>
      <w:pPr>
        <w:spacing w:after="0" w:line="5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developing EDP-305, EDP-938 and/or EDP-514 or in discovering further product candidates in addition to those product candidates, our ability to expand our business and achieve our strategic objectives will be impaired.</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68" w:lineRule="exact"/>
        <w:rPr>
          <w:sz w:val="20"/>
          <w:szCs w:val="20"/>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additional potential product candidates;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less commercially viable or obsolete;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obtain intellectual property protection that effectively prevents us from developing a product candidate;</w:t>
      </w:r>
    </w:p>
    <w:p>
      <w:pPr>
        <w:spacing w:after="0" w:line="117" w:lineRule="exact"/>
        <w:rPr>
          <w:rFonts w:ascii="Times New Roman" w:cs="Times New Roman" w:eastAsia="Times New Roman" w:hAnsi="Times New Roman"/>
          <w:sz w:val="18"/>
          <w:szCs w:val="18"/>
          <w:color w:val="auto"/>
        </w:rPr>
      </w:pPr>
    </w:p>
    <w:p>
      <w:pPr>
        <w:ind w:left="1200" w:right="520" w:hanging="598"/>
        <w:spacing w:after="0" w:line="282" w:lineRule="auto"/>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2" w:name="page33"/>
    <w:bookmarkEnd w:id="32"/>
    <w:p>
      <w:pPr>
        <w:spacing w:after="0" w:line="258" w:lineRule="auto"/>
        <w:rPr>
          <w:sz w:val="20"/>
          <w:szCs w:val="20"/>
          <w:color w:val="auto"/>
        </w:rPr>
      </w:pPr>
      <w:r>
        <w:rPr>
          <w:rFonts w:ascii="Times New Roman" w:cs="Times New Roman" w:eastAsia="Times New Roman" w:hAnsi="Times New Roman"/>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royalty revenue earned under our AbbVie agreement or changes in the level of expenses associated with development of our product candidates may cause our results of operations to fluctuate from period to period, which may result in operating losses.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and the varying rates of reimbursement in different countries.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Additionally, many of the preclinical and clinical development activities required for our product candidates must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7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We may not be able to accomplish these tasks, and our failure to accomplish any of them could prevent us from successfully growing our company.</w:t>
      </w:r>
    </w:p>
    <w:p>
      <w:pPr>
        <w:spacing w:after="0" w:line="11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w:t>
      </w:r>
    </w:p>
    <w:p>
      <w:pPr>
        <w:spacing w:after="0" w:line="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net income results primarily from the revenue we earn from AbbVie on net sales of its HCV regimens allocated to our protease inhibitors included in those regimens. There is no assurance, however, that we will report net income in subsequent years. To date, we have not commercialized any products ourselves.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in one or more countries.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74" w:lineRule="exact"/>
        <w:rPr>
          <w:sz w:val="20"/>
          <w:szCs w:val="20"/>
          <w:color w:val="auto"/>
        </w:rPr>
      </w:pPr>
    </w:p>
    <w:p>
      <w:pPr>
        <w:jc w:val="both"/>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generated from our existing collaboration with AbbVie;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880" w:right="24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any of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therapeutic candidates and therapies;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34" w:name="page35"/>
    <w:bookmarkEnd w:id="34"/>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for a variety of reasons, including delays related to:</w:t>
      </w:r>
    </w:p>
    <w:p>
      <w:pPr>
        <w:spacing w:after="0" w:line="117" w:lineRule="exact"/>
        <w:rPr>
          <w:sz w:val="20"/>
          <w:szCs w:val="20"/>
          <w:color w:val="auto"/>
        </w:rPr>
      </w:pPr>
    </w:p>
    <w:p>
      <w:pPr>
        <w:ind w:left="1200" w:right="300" w:hanging="598"/>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w:t>
      </w:r>
    </w:p>
    <w:p>
      <w:pPr>
        <w:spacing w:after="0" w:line="117" w:lineRule="exact"/>
        <w:rPr>
          <w:rFonts w:ascii="Times New Roman" w:cs="Times New Roman" w:eastAsia="Times New Roman" w:hAnsi="Times New Roman"/>
          <w:sz w:val="18"/>
          <w:szCs w:val="18"/>
          <w:color w:val="auto"/>
        </w:rPr>
      </w:pPr>
    </w:p>
    <w:p>
      <w:pPr>
        <w:ind w:left="1200" w:right="560" w:hanging="598"/>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variations in incidents of infection year to year (e.g. RSV) affecting enrollment in clinical trials;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drug product or drug substance storage and distribution;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7" w:lineRule="exact"/>
        <w:rPr>
          <w:rFonts w:ascii="Times New Roman" w:cs="Times New Roman" w:eastAsia="Times New Roman" w:hAnsi="Times New Roman"/>
          <w:sz w:val="18"/>
          <w:szCs w:val="18"/>
          <w:color w:val="auto"/>
        </w:rPr>
      </w:pPr>
    </w:p>
    <w:p>
      <w:pPr>
        <w:ind w:left="1200" w:right="200" w:hanging="598"/>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drug product sufficient to complete our preclinical studies and clinical trials;</w:t>
      </w:r>
    </w:p>
    <w:p>
      <w:pPr>
        <w:spacing w:after="0" w:line="53" w:lineRule="exact"/>
        <w:rPr>
          <w:rFonts w:ascii="Times New Roman" w:cs="Times New Roman" w:eastAsia="Times New Roman" w:hAnsi="Times New Roman"/>
          <w:sz w:val="18"/>
          <w:szCs w:val="18"/>
          <w:color w:val="auto"/>
        </w:rPr>
      </w:pPr>
    </w:p>
    <w:p>
      <w:pPr>
        <w:ind w:left="1200" w:right="420" w:hanging="598"/>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regulatory administration, including, for example, administrative delays due to the planned relocation of the EMA to the Netherlands;</w:t>
      </w:r>
    </w:p>
    <w:p>
      <w:pPr>
        <w:spacing w:after="0" w:line="53" w:lineRule="exact"/>
        <w:rPr>
          <w:rFonts w:ascii="Times New Roman" w:cs="Times New Roman" w:eastAsia="Times New Roman" w:hAnsi="Times New Roman"/>
          <w:sz w:val="18"/>
          <w:szCs w:val="18"/>
          <w:color w:val="auto"/>
        </w:rPr>
      </w:pPr>
    </w:p>
    <w:p>
      <w:pPr>
        <w:ind w:left="1200" w:right="140" w:hanging="598"/>
        <w:spacing w:after="0" w:line="282"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policy and guidelines, including guidelines specifically addressing requirements for the development of treatments for RSV, NASH, PBC or HBV;</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ind w:left="1200" w:hanging="598"/>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and maintaining adequate insurance coverage;</w:t>
      </w:r>
    </w:p>
    <w:p>
      <w:pPr>
        <w:spacing w:after="0" w:line="117" w:lineRule="exact"/>
        <w:rPr>
          <w:rFonts w:ascii="Times New Roman" w:cs="Times New Roman" w:eastAsia="Times New Roman" w:hAnsi="Times New Roman"/>
          <w:sz w:val="18"/>
          <w:szCs w:val="18"/>
          <w:color w:val="auto"/>
        </w:rPr>
      </w:pPr>
    </w:p>
    <w:p>
      <w:pPr>
        <w:ind w:left="1200" w:right="160" w:hanging="598"/>
        <w:spacing w:after="0" w:line="282"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the EMA and similar foreign regulatory agencies.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79"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7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EDP-305, EDP-938, EDP-514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212121"/>
        </w:rPr>
        <w:t>development programs being negatively affected even if such events or symptoms are ultimately determined to be unlikely related to our drug candidates.</w:t>
      </w:r>
    </w:p>
    <w:p>
      <w:pPr>
        <w:spacing w:after="0" w:line="200" w:lineRule="exact"/>
        <w:rPr>
          <w:sz w:val="20"/>
          <w:szCs w:val="20"/>
          <w:color w:val="auto"/>
        </w:rPr>
      </w:pPr>
    </w:p>
    <w:p>
      <w:pPr>
        <w:spacing w:after="0" w:line="2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7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212121"/>
        </w:rPr>
        <w:t>In our HBV program, we are developing modulators of capsid assembly. This is a new mechanistic approach to HBV,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our product candidates receives marketing approval and we or others later identify undesirable or unacceptable side effects caused by such products:</w:t>
      </w:r>
    </w:p>
    <w:p>
      <w:pPr>
        <w:spacing w:after="0" w:line="117" w:lineRule="exact"/>
        <w:rPr>
          <w:sz w:val="20"/>
          <w:szCs w:val="20"/>
          <w:color w:val="auto"/>
        </w:rPr>
      </w:pPr>
    </w:p>
    <w:p>
      <w:pPr>
        <w:ind w:left="1200" w:right="160" w:hanging="598"/>
        <w:spacing w:after="0" w:line="282"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1200" w:right="380" w:hanging="598"/>
        <w:spacing w:after="0" w:line="282"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stock price may suffer.</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5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if any. In addition, results of Phase 3 clinical trials in one or more ethnic groups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7" w:name="page38"/>
    <w:bookmarkEnd w:id="37"/>
    <w:p>
      <w:pPr>
        <w:ind w:right="160"/>
        <w:spacing w:after="0" w:line="261" w:lineRule="auto"/>
        <w:rPr>
          <w:sz w:val="20"/>
          <w:szCs w:val="20"/>
          <w:color w:val="auto"/>
        </w:rPr>
      </w:pPr>
      <w:r>
        <w:rPr>
          <w:rFonts w:ascii="Times New Roman" w:cs="Times New Roman" w:eastAsia="Times New Roman" w:hAnsi="Times New Roman"/>
          <w:sz w:val="18"/>
          <w:szCs w:val="18"/>
          <w:color w:val="auto"/>
        </w:rPr>
        <w:t>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76"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2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200" w:hanging="598"/>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200" w:right="20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200" w:right="44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other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200" w:right="6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200" w:right="80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200" w:right="96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53" w:lineRule="exact"/>
        <w:rPr>
          <w:rFonts w:ascii="Times New Roman" w:cs="Times New Roman" w:eastAsia="Times New Roman" w:hAnsi="Times New Roman"/>
          <w:sz w:val="18"/>
          <w:szCs w:val="18"/>
          <w:color w:val="auto"/>
        </w:rPr>
      </w:pPr>
    </w:p>
    <w:p>
      <w:pPr>
        <w:ind w:left="1200" w:right="260" w:hanging="598"/>
        <w:spacing w:after="0" w:line="282"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0" w:lineRule="exact"/>
        <w:rPr>
          <w:sz w:val="20"/>
          <w:szCs w:val="20"/>
          <w:color w:val="auto"/>
        </w:rPr>
      </w:pPr>
    </w:p>
    <w:p>
      <w:pPr>
        <w:ind w:left="1200" w:right="120" w:hanging="598"/>
        <w:spacing w:after="0" w:line="282"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any post-approval clinical trials;</w:t>
      </w:r>
    </w:p>
    <w:p>
      <w:pPr>
        <w:spacing w:after="0" w:line="117" w:lineRule="exact"/>
        <w:rPr>
          <w:rFonts w:ascii="Times New Roman" w:cs="Times New Roman" w:eastAsia="Times New Roman" w:hAnsi="Times New Roman"/>
          <w:sz w:val="18"/>
          <w:szCs w:val="18"/>
          <w:color w:val="auto"/>
        </w:rPr>
      </w:pPr>
    </w:p>
    <w:p>
      <w:pPr>
        <w:ind w:left="1200" w:right="460" w:hanging="598"/>
        <w:spacing w:after="0" w:line="282"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5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ind w:right="520"/>
        <w:spacing w:after="0" w:line="282" w:lineRule="auto"/>
        <w:rPr>
          <w:sz w:val="20"/>
          <w:szCs w:val="20"/>
          <w:color w:val="auto"/>
        </w:rPr>
      </w:pPr>
      <w:r>
        <w:rPr>
          <w:rFonts w:ascii="Times New Roman" w:cs="Times New Roman" w:eastAsia="Times New Roman" w:hAnsi="Times New Roman"/>
          <w:sz w:val="18"/>
          <w:szCs w:val="18"/>
          <w:color w:val="auto"/>
        </w:rPr>
        <w:t>addition, AbbVie has the right to make decisions regarding the commercialization of paritaprevir and glecaprevir without consulting us, and may make decisions with which we do not agree.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pricing regulations, third-party reimbursement practices or healthcare reform initiatives in the United States could harm our business.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14 that have rejected 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it is unclear how this decision, subsequent appeals and other efforts to repeal and replace the Affordable Care Act will impact the Affordable Care Act. We cannot predict what legislation, if any, to repeal or replace the ACA will become law, or what impact any such legislation, or the Texas court challenge, may have on us or on AbbVie’s sales of MAVYRET/MAVIRET.</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and could seriously harm our future revenues.</w:t>
      </w:r>
    </w:p>
    <w:p>
      <w:pPr>
        <w:spacing w:after="0" w:line="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0" w:name="page41"/>
    <w:bookmarkEnd w:id="40"/>
    <w:p>
      <w:pPr>
        <w:ind w:right="40"/>
        <w:spacing w:after="0" w:line="254" w:lineRule="auto"/>
        <w:rPr>
          <w:sz w:val="20"/>
          <w:szCs w:val="20"/>
          <w:color w:val="auto"/>
        </w:rPr>
      </w:pPr>
      <w:r>
        <w:rPr>
          <w:rFonts w:ascii="Times New Roman" w:cs="Times New Roman" w:eastAsia="Times New Roman" w:hAnsi="Times New Roman"/>
          <w:sz w:val="18"/>
          <w:szCs w:val="18"/>
          <w:color w:val="auto"/>
        </w:rPr>
        <w:t>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68" w:lineRule="exact"/>
        <w:rPr>
          <w:sz w:val="20"/>
          <w:szCs w:val="20"/>
          <w:color w:val="auto"/>
        </w:rPr>
      </w:pPr>
    </w:p>
    <w:p>
      <w:pPr>
        <w:ind w:left="1200" w:hanging="598"/>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ind w:left="1200" w:right="140" w:hanging="598"/>
        <w:spacing w:after="0" w:line="282" w:lineRule="auto"/>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5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MAVYRET/MAVIRET, as well as EDP-305, EDP-938, EDP-514 and any other product candidate that we may develop in the future, whether as part of a combination therapy or as a monotherapy, are subject to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2" w:lineRule="exact"/>
        <w:rPr>
          <w:sz w:val="20"/>
          <w:szCs w:val="20"/>
          <w:color w:val="auto"/>
        </w:rPr>
      </w:pPr>
    </w:p>
    <w:p>
      <w:pPr>
        <w:ind w:left="1200" w:right="200" w:hanging="598"/>
        <w:spacing w:after="0" w:line="282" w:lineRule="auto"/>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treatment regimen containing one of our product candidates become approved;</w:t>
      </w:r>
    </w:p>
    <w:p>
      <w:pPr>
        <w:spacing w:after="0" w:line="117" w:lineRule="exact"/>
        <w:rPr>
          <w:rFonts w:ascii="Times New Roman" w:cs="Times New Roman" w:eastAsia="Times New Roman" w:hAnsi="Times New Roman"/>
          <w:sz w:val="18"/>
          <w:szCs w:val="18"/>
          <w:color w:val="auto"/>
        </w:rPr>
      </w:pPr>
    </w:p>
    <w:p>
      <w:pPr>
        <w:ind w:left="1200" w:right="600" w:hanging="598"/>
        <w:spacing w:after="0" w:line="282" w:lineRule="auto"/>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among physicians, major operators of clinics, payors and patients of any treatment regimen containing one of our product candidates;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treatment regimens containing one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of regimens containing one of our product candidates in relation to the cost of alternative treatments;</w:t>
      </w:r>
    </w:p>
    <w:p>
      <w:pPr>
        <w:spacing w:after="0" w:line="117" w:lineRule="exact"/>
        <w:rPr>
          <w:rFonts w:ascii="Times New Roman" w:cs="Times New Roman" w:eastAsia="Times New Roman" w:hAnsi="Times New Roman"/>
          <w:sz w:val="18"/>
          <w:szCs w:val="18"/>
          <w:color w:val="auto"/>
        </w:rPr>
      </w:pPr>
    </w:p>
    <w:p>
      <w:pPr>
        <w:jc w:val="both"/>
        <w:ind w:left="1200" w:right="240" w:hanging="598"/>
        <w:spacing w:after="0" w:line="266" w:lineRule="auto"/>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68"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longevity of the HCV drug market or growth and longevity of any other market for which we develop a drug;</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funding provided by government-funded healthcare for HCV treatment or treatment of any other disease for which we develop a drug;</w:t>
      </w:r>
    </w:p>
    <w:p>
      <w:pPr>
        <w:spacing w:after="0" w:line="53" w:lineRule="exact"/>
        <w:rPr>
          <w:rFonts w:ascii="Times New Roman" w:cs="Times New Roman" w:eastAsia="Times New Roman" w:hAnsi="Times New Roman"/>
          <w:sz w:val="18"/>
          <w:szCs w:val="18"/>
          <w:color w:val="auto"/>
        </w:rPr>
      </w:pPr>
    </w:p>
    <w:p>
      <w:pPr>
        <w:ind w:left="1200" w:right="700" w:hanging="598"/>
        <w:spacing w:after="0" w:line="282" w:lineRule="auto"/>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any treatment regimen containing one of our product candidates compared to competitive regimens;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2" w:name="page43"/>
    <w:bookmarkEnd w:id="42"/>
    <w:p>
      <w:pPr>
        <w:ind w:left="1200" w:right="780" w:hanging="598"/>
        <w:spacing w:after="0" w:line="282" w:lineRule="auto"/>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whether involving the use of treatment regimens containing one of our products candidates or similar, competitive treatment regimens;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AbbVie in the case of MAVYRET/MAVIRET.</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7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54" w:lineRule="exact"/>
        <w:rPr>
          <w:sz w:val="20"/>
          <w:szCs w:val="20"/>
          <w:color w:val="auto"/>
        </w:rPr>
      </w:pPr>
    </w:p>
    <w:p>
      <w:pPr>
        <w:ind w:left="1200" w:hanging="598"/>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product candidates may be terminated or delayed;</w:t>
      </w:r>
    </w:p>
    <w:p>
      <w:pPr>
        <w:spacing w:after="0" w:line="117" w:lineRule="exact"/>
        <w:rPr>
          <w:rFonts w:ascii="Times New Roman" w:cs="Times New Roman" w:eastAsia="Times New Roman" w:hAnsi="Times New Roman"/>
          <w:sz w:val="18"/>
          <w:szCs w:val="18"/>
          <w:color w:val="auto"/>
        </w:rPr>
      </w:pPr>
    </w:p>
    <w:p>
      <w:pPr>
        <w:ind w:left="1200" w:right="420" w:hanging="598"/>
        <w:spacing w:after="0" w:line="282" w:lineRule="auto"/>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1200" w:right="200" w:hanging="598"/>
        <w:spacing w:after="0" w:line="282" w:lineRule="auto"/>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clinical, regulatory, sales and marketing expertise, which we do not currently have;</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any product candidate that is commercialized could be reduced.</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6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3" w:name="page44"/>
    <w:bookmarkEnd w:id="43"/>
    <w:p>
      <w:pPr>
        <w:ind w:right="20"/>
        <w:spacing w:after="0" w:line="255" w:lineRule="auto"/>
        <w:rPr>
          <w:sz w:val="20"/>
          <w:szCs w:val="20"/>
          <w:color w:val="auto"/>
        </w:rPr>
      </w:pPr>
      <w:r>
        <w:rPr>
          <w:rFonts w:ascii="Times New Roman" w:cs="Times New Roman" w:eastAsia="Times New Roman" w:hAnsi="Times New Roman"/>
          <w:sz w:val="18"/>
          <w:szCs w:val="18"/>
          <w:color w:val="auto"/>
        </w:rPr>
        <w:t>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a trade war, or political unrest in China could materially adversely affect our business, financial condition and results of operations.</w:t>
      </w:r>
    </w:p>
    <w:p>
      <w:pPr>
        <w:spacing w:after="0" w:line="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4" w:name="page45"/>
    <w:bookmarkEnd w:id="44"/>
    <w:p>
      <w:pPr>
        <w:ind w:right="380"/>
        <w:spacing w:after="0" w:line="282" w:lineRule="auto"/>
        <w:rPr>
          <w:sz w:val="20"/>
          <w:szCs w:val="20"/>
          <w:color w:val="auto"/>
        </w:rPr>
      </w:pPr>
      <w:r>
        <w:rPr>
          <w:rFonts w:ascii="Times New Roman" w:cs="Times New Roman" w:eastAsia="Times New Roman" w:hAnsi="Times New Roman"/>
          <w:sz w:val="18"/>
          <w:szCs w:val="18"/>
          <w:color w:val="auto"/>
        </w:rPr>
        <w:t>costs. In addition, our labor costs could continue to rise as wage rates increase due to increased demand for skilled laborers and the availability of skilled labor declines in China.</w:t>
      </w:r>
    </w:p>
    <w:p>
      <w:pPr>
        <w:spacing w:after="0" w:line="5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8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unsuccessful in obtaining or maintaining adequate patent protection for one or more of our product candidates.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 if challenged in court.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6" w:name="page47"/>
    <w:bookmarkEnd w:id="46"/>
    <w:p>
      <w:pPr>
        <w:ind w:right="280"/>
        <w:spacing w:after="0" w:line="282" w:lineRule="auto"/>
        <w:rPr>
          <w:sz w:val="20"/>
          <w:szCs w:val="20"/>
          <w:color w:val="auto"/>
        </w:rPr>
      </w:pPr>
      <w:r>
        <w:rPr>
          <w:rFonts w:ascii="Times New Roman" w:cs="Times New Roman" w:eastAsia="Times New Roman" w:hAnsi="Times New Roman"/>
          <w:sz w:val="18"/>
          <w:szCs w:val="18"/>
          <w:color w:val="auto"/>
        </w:rPr>
        <w:t>commercially reasonable terms or at all). Any efforts to enforce our intellectual property rights are also likely to be costly and may divert the efforts of our scientific and management personnel.</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7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7" w:name="page48"/>
    <w:bookmarkEnd w:id="47"/>
    <w:p>
      <w:pPr>
        <w:ind w:right="40"/>
        <w:spacing w:after="0" w:line="258" w:lineRule="auto"/>
        <w:rPr>
          <w:sz w:val="20"/>
          <w:szCs w:val="20"/>
          <w:color w:val="auto"/>
        </w:rPr>
      </w:pPr>
      <w:r>
        <w:rPr>
          <w:rFonts w:ascii="Times New Roman" w:cs="Times New Roman" w:eastAsia="Times New Roman" w:hAnsi="Times New Roman"/>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8" w:name="page49"/>
    <w:bookmarkEnd w:id="48"/>
    <w:p>
      <w:pPr>
        <w:ind w:right="100"/>
        <w:spacing w:after="0" w:line="261" w:lineRule="auto"/>
        <w:rPr>
          <w:sz w:val="20"/>
          <w:szCs w:val="20"/>
          <w:color w:val="auto"/>
        </w:rPr>
      </w:pPr>
      <w:r>
        <w:rPr>
          <w:rFonts w:ascii="Times New Roman" w:cs="Times New Roman" w:eastAsia="Times New Roman" w:hAnsi="Times New Roman"/>
          <w:sz w:val="18"/>
          <w:szCs w:val="18"/>
          <w:color w:val="auto"/>
        </w:rPr>
        <w:t>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protect us from all potential threats to our competitive advantage.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200" w:right="40" w:hanging="598"/>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200" w:right="200" w:hanging="598"/>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certain of our inventions, which could result in the patent applications not issuing or being invalidated after issuing;</w:t>
      </w:r>
    </w:p>
    <w:p>
      <w:pPr>
        <w:spacing w:after="0" w:line="53" w:lineRule="exact"/>
        <w:rPr>
          <w:rFonts w:ascii="Times New Roman" w:cs="Times New Roman" w:eastAsia="Times New Roman" w:hAnsi="Times New Roman"/>
          <w:sz w:val="18"/>
          <w:szCs w:val="18"/>
          <w:color w:val="auto"/>
        </w:rPr>
      </w:pPr>
    </w:p>
    <w:p>
      <w:pPr>
        <w:ind w:left="1200" w:right="120" w:hanging="598"/>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200" w:right="80" w:hanging="598"/>
        <w:spacing w:after="0" w:line="261"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1" w:lineRule="exact"/>
        <w:rPr>
          <w:rFonts w:ascii="Times New Roman" w:cs="Times New Roman" w:eastAsia="Times New Roman" w:hAnsi="Times New Roman"/>
          <w:sz w:val="18"/>
          <w:szCs w:val="18"/>
          <w:color w:val="auto"/>
        </w:rPr>
      </w:pPr>
    </w:p>
    <w:p>
      <w:pPr>
        <w:ind w:left="1200" w:right="720" w:hanging="598"/>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200" w:right="60" w:hanging="598"/>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3" w:lineRule="exact"/>
        <w:rPr>
          <w:rFonts w:ascii="Times New Roman" w:cs="Times New Roman" w:eastAsia="Times New Roman" w:hAnsi="Times New Roman"/>
          <w:sz w:val="18"/>
          <w:szCs w:val="18"/>
          <w:color w:val="auto"/>
        </w:rPr>
      </w:pPr>
    </w:p>
    <w:p>
      <w:pPr>
        <w:ind w:left="1200" w:right="240" w:hanging="598"/>
        <w:spacing w:after="0" w:line="282" w:lineRule="auto"/>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merits or eventual outcome, liability claims may result in:</w:t>
      </w:r>
    </w:p>
    <w:p>
      <w:pPr>
        <w:spacing w:after="0" w:line="117" w:lineRule="exact"/>
        <w:rPr>
          <w:sz w:val="20"/>
          <w:szCs w:val="20"/>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any resulting products;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$10.0 million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0" w:name="page51"/>
    <w:bookmarkEnd w:id="50"/>
    <w:p>
      <w:pPr>
        <w:ind w:right="80"/>
        <w:spacing w:after="0" w:line="258" w:lineRule="auto"/>
        <w:rPr>
          <w:sz w:val="20"/>
          <w:szCs w:val="20"/>
          <w:color w:val="auto"/>
        </w:rPr>
      </w:pPr>
      <w:r>
        <w:rPr>
          <w:rFonts w:ascii="Times New Roman" w:cs="Times New Roman" w:eastAsia="Times New Roman" w:hAnsi="Times New Roman"/>
          <w:sz w:val="18"/>
          <w:szCs w:val="18"/>
          <w:color w:val="auto"/>
        </w:rPr>
        <w:t>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7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76" w:lineRule="exact"/>
        <w:rPr>
          <w:sz w:val="20"/>
          <w:szCs w:val="20"/>
          <w:color w:val="auto"/>
        </w:rPr>
      </w:pPr>
    </w:p>
    <w:p>
      <w:pPr>
        <w:ind w:left="1200" w:hanging="598"/>
        <w:spacing w:after="0" w:line="261"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9" w:lineRule="exact"/>
        <w:rPr>
          <w:rFonts w:ascii="Times New Roman" w:cs="Times New Roman" w:eastAsia="Times New Roman" w:hAnsi="Times New Roman"/>
          <w:sz w:val="18"/>
          <w:szCs w:val="18"/>
          <w:color w:val="auto"/>
        </w:rPr>
      </w:pPr>
    </w:p>
    <w:p>
      <w:pPr>
        <w:jc w:val="both"/>
        <w:ind w:left="1200" w:right="300" w:hanging="598"/>
        <w:spacing w:after="0" w:line="267" w:lineRule="auto"/>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Act imposes criminal and civil penalties, including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1" w:name="page52"/>
    <w:bookmarkEnd w:id="51"/>
    <w:p>
      <w:pPr>
        <w:ind w:left="1200" w:right="280" w:hanging="598"/>
        <w:spacing w:after="0" w:line="261" w:lineRule="auto"/>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200" w:right="420" w:hanging="598"/>
        <w:spacing w:after="0" w:line="282" w:lineRule="auto"/>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200" w:right="20" w:hanging="598"/>
        <w:spacing w:after="0" w:line="266" w:lineRule="auto"/>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68" w:lineRule="exact"/>
        <w:rPr>
          <w:rFonts w:ascii="Times New Roman" w:cs="Times New Roman" w:eastAsia="Times New Roman" w:hAnsi="Times New Roman"/>
          <w:sz w:val="18"/>
          <w:szCs w:val="18"/>
          <w:color w:val="auto"/>
        </w:rPr>
      </w:pPr>
    </w:p>
    <w:p>
      <w:pPr>
        <w:ind w:left="1200" w:right="120" w:hanging="598"/>
        <w:spacing w:after="0" w:line="258" w:lineRule="auto"/>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5"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anti-kickback, fraud and abuse and healthcare laws and regulations in foreign countries.</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7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specified business risks, which will leave us exposed to significant uninsured liabilities.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volatile, and thus our stockholders could incur substantial losses.</w:t>
      </w:r>
    </w:p>
    <w:p>
      <w:pPr>
        <w:spacing w:after="0" w:line="12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could be subject to wide fluctuations in response to various factors, many of which are beyond our control. From September 30, 2014 through September 30, 2019,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0" w:lineRule="exact"/>
        <w:rPr>
          <w:sz w:val="20"/>
          <w:szCs w:val="20"/>
          <w:color w:val="auto"/>
        </w:rPr>
      </w:pPr>
    </w:p>
    <w:p>
      <w:pPr>
        <w:ind w:left="1200" w:right="500" w:hanging="598"/>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of clinical trials of our product candidates, as well as results of regulatory reviews relating to the approval of our product candidates;</w:t>
      </w:r>
    </w:p>
    <w:p>
      <w:pPr>
        <w:spacing w:after="0" w:line="53" w:lineRule="exact"/>
        <w:rPr>
          <w:rFonts w:ascii="Times New Roman" w:cs="Times New Roman" w:eastAsia="Times New Roman" w:hAnsi="Times New Roman"/>
          <w:sz w:val="18"/>
          <w:szCs w:val="18"/>
          <w:color w:val="auto"/>
        </w:rPr>
      </w:pPr>
    </w:p>
    <w:p>
      <w:pPr>
        <w:ind w:left="1200" w:right="220" w:hanging="598"/>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AbbVie regarding the MAVYRET/MAVIRET regimen containing glecaprevir as approved in the U.S., EU and Japan, including announcements regarding regulatory or commercial developments;</w:t>
      </w:r>
    </w:p>
    <w:p>
      <w:pPr>
        <w:spacing w:after="0" w:line="53" w:lineRule="exact"/>
        <w:rPr>
          <w:rFonts w:ascii="Times New Roman" w:cs="Times New Roman" w:eastAsia="Times New Roman" w:hAnsi="Times New Roman"/>
          <w:sz w:val="18"/>
          <w:szCs w:val="18"/>
          <w:color w:val="auto"/>
        </w:rPr>
      </w:pPr>
    </w:p>
    <w:p>
      <w:pPr>
        <w:ind w:left="1200" w:right="480" w:hanging="598"/>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expectations about and response to the levels of sales or scripts achieved by, or the announced prices or discounts for, AbbVie’s MAVYRET/MAVIRET regimen or competitive HCV drugs;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AbbVie’s MAVYRET/MAVIRET regimen to maintain its sales levels;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or develop additional product candidates;</w:t>
      </w:r>
    </w:p>
    <w:p>
      <w:pPr>
        <w:spacing w:after="0" w:line="117" w:lineRule="exact"/>
        <w:rPr>
          <w:rFonts w:ascii="Times New Roman" w:cs="Times New Roman" w:eastAsia="Times New Roman" w:hAnsi="Times New Roman"/>
          <w:sz w:val="18"/>
          <w:szCs w:val="18"/>
          <w:color w:val="auto"/>
        </w:rPr>
      </w:pPr>
    </w:p>
    <w:p>
      <w:pPr>
        <w:ind w:left="1200" w:right="400" w:hanging="598"/>
        <w:spacing w:after="0" w:line="282" w:lineRule="auto"/>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or technologies introduced or announced by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our collaborators, CROs, manufacturers, clinical trial sponsors and clinical investigators;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political or legal developments in the United States or other countries;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scientific or management personnel;</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we develop independently, if approved;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3" w:name="page54"/>
    <w:bookmarkEnd w:id="53"/>
    <w:p>
      <w:pPr>
        <w:ind w:left="1200" w:right="180" w:hanging="59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or other actions that affect the effective reimbursement rates for treatment regimens containing our products or for competitive regimens;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200" w:right="420" w:hanging="59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2" w:lineRule="exact"/>
        <w:rPr>
          <w:sz w:val="20"/>
          <w:szCs w:val="20"/>
          <w:color w:val="auto"/>
        </w:rPr>
      </w:pPr>
    </w:p>
    <w:p>
      <w:pPr>
        <w:ind w:left="1200" w:hanging="598"/>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or staggered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200" w:right="340" w:hanging="598"/>
        <w:spacing w:after="0" w:line="282"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1200" w:right="380" w:hanging="598"/>
        <w:spacing w:after="0" w:line="282"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53" w:lineRule="exact"/>
        <w:rPr>
          <w:rFonts w:ascii="Times New Roman" w:cs="Times New Roman" w:eastAsia="Times New Roman" w:hAnsi="Times New Roman"/>
          <w:sz w:val="18"/>
          <w:szCs w:val="18"/>
          <w:color w:val="auto"/>
        </w:rPr>
      </w:pPr>
    </w:p>
    <w:p>
      <w:pPr>
        <w:ind w:left="1200" w:right="460" w:hanging="598"/>
        <w:spacing w:after="0" w:line="266"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8" w:lineRule="exact"/>
        <w:rPr>
          <w:rFonts w:ascii="Times New Roman" w:cs="Times New Roman" w:eastAsia="Times New Roman" w:hAnsi="Times New Roman"/>
          <w:sz w:val="18"/>
          <w:szCs w:val="18"/>
          <w:color w:val="auto"/>
        </w:rPr>
      </w:pPr>
    </w:p>
    <w:p>
      <w:pPr>
        <w:ind w:left="1200" w:right="460" w:hanging="598"/>
        <w:spacing w:after="0" w:line="282" w:lineRule="auto"/>
        <w:tabs>
          <w:tab w:leader="none" w:pos="1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4" w:name="page55"/>
    <w:bookmarkEnd w:id="54"/>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executive officers are parties to employment agreements that provide for aggregate cash payments of up to approximately $4.1 million for severance and other non-equity-based benefits in the event of a termination of employment in connection with a change of control of our company. In addition, based on the closing price of our common stock as of September 30, 2019 of $60.08 per common share, the aggregate intrinsic value of unvested stock options and other equity awards subject to accelerated vesting upon these events was $12.1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50"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2019, we had 19.7 million shares of common stock outstanding. In addition, as of September 30, 2019, 3.0 million and 0.2 million shares of common stock that are subject to outstanding options or restricted stock unit awards, respectively, under our outstanding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5" w:name="page56"/>
    <w:bookmarkEnd w:id="55"/>
    <w:p>
      <w:pPr>
        <w:ind w:right="360"/>
        <w:spacing w:after="0" w:line="282" w:lineRule="auto"/>
        <w:rPr>
          <w:sz w:val="20"/>
          <w:szCs w:val="20"/>
          <w:color w:val="auto"/>
        </w:rPr>
      </w:pPr>
      <w:r>
        <w:rPr>
          <w:rFonts w:ascii="Times New Roman" w:cs="Times New Roman" w:eastAsia="Times New Roman" w:hAnsi="Times New Roman"/>
          <w:sz w:val="18"/>
          <w:szCs w:val="18"/>
          <w:color w:val="auto"/>
        </w:rPr>
        <w:t>coverage of our company or fail to publish reports on us regularly, demand for our stock could decrease, which might cause our stock price and trading volume to decline.</w:t>
      </w:r>
    </w:p>
    <w:p>
      <w:pPr>
        <w:spacing w:after="0" w:line="5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Watertown, Massachusetts, where we lease approximately 49,000 square feet of office and laboratory space. The term of our current lease expires on September 1, 2022. We also lease additional office space located in Watertown, Massachusetts of approximately 18,000 square feet. The term of this lease expires August 1, 2024.</w:t>
      </w:r>
    </w:p>
    <w:p>
      <w:pPr>
        <w:spacing w:after="0" w:line="6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material legal proceedings.</w:t>
      </w:r>
    </w:p>
    <w:p>
      <w:pPr>
        <w:spacing w:after="0" w:line="11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445" w:right="41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360" w:hanging="1350"/>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COMPANY’S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Stockholder Information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“ENTA” since March 21, 2013. The following table shows the high and low sales price for our common stock as reported by The NASDAQ Global Select Market for the quarterly periods in the fiscal years ended September 30, 2019 and 2018:</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Borders>
              <w:bottom w:val="single" w:sz="8" w:color="CFF0FC"/>
            </w:tcBorders>
          </w:tcPr>
          <w:p>
            <w:pPr>
              <w:spacing w:after="0"/>
              <w:rPr>
                <w:sz w:val="13"/>
                <w:szCs w:val="13"/>
                <w:color w:val="auto"/>
              </w:rPr>
            </w:pPr>
          </w:p>
        </w:tc>
      </w:tr>
      <w:tr>
        <w:trPr>
          <w:trHeight w:val="237"/>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60" w:type="dxa"/>
            <w:vAlign w:val="bottom"/>
            <w:shd w:val="clear" w:color="auto" w:fill="CFF0FC"/>
          </w:tcPr>
          <w:p>
            <w:pPr>
              <w:spacing w:after="0"/>
              <w:rPr>
                <w:sz w:val="20"/>
                <w:szCs w:val="20"/>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60" w:type="dxa"/>
            <w:vAlign w:val="bottom"/>
          </w:tcPr>
          <w:p>
            <w:pPr>
              <w:spacing w:after="0"/>
              <w:rPr>
                <w:sz w:val="21"/>
                <w:szCs w:val="21"/>
                <w:color w:val="auto"/>
              </w:rPr>
            </w:pPr>
          </w:p>
        </w:tc>
      </w:tr>
      <w:tr>
        <w:trPr>
          <w:trHeight w:val="24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60" w:type="dxa"/>
            <w:vAlign w:val="bottom"/>
            <w:shd w:val="clear" w:color="auto" w:fill="CFF0FC"/>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60" w:type="dxa"/>
            <w:vAlign w:val="bottom"/>
          </w:tcPr>
          <w:p>
            <w:pPr>
              <w:spacing w:after="0"/>
              <w:rPr>
                <w:sz w:val="21"/>
                <w:szCs w:val="21"/>
                <w:color w:val="auto"/>
              </w:rPr>
            </w:pPr>
          </w:p>
        </w:tc>
      </w:tr>
      <w:tr>
        <w:trPr>
          <w:trHeight w:val="459"/>
        </w:trPr>
        <w:tc>
          <w:tcPr>
            <w:tcW w:w="3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312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Borders>
              <w:bottom w:val="single" w:sz="8" w:color="CFF0FC"/>
            </w:tcBorders>
          </w:tcPr>
          <w:p>
            <w:pPr>
              <w:spacing w:after="0"/>
              <w:rPr>
                <w:sz w:val="13"/>
                <w:szCs w:val="13"/>
                <w:color w:val="auto"/>
              </w:rPr>
            </w:pPr>
          </w:p>
        </w:tc>
      </w:tr>
      <w:tr>
        <w:trPr>
          <w:trHeight w:val="237"/>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60" w:type="dxa"/>
            <w:vAlign w:val="bottom"/>
            <w:shd w:val="clear" w:color="auto" w:fill="CFF0FC"/>
          </w:tcPr>
          <w:p>
            <w:pPr>
              <w:spacing w:after="0"/>
              <w:rPr>
                <w:sz w:val="20"/>
                <w:szCs w:val="20"/>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60" w:type="dxa"/>
            <w:vAlign w:val="bottom"/>
          </w:tcPr>
          <w:p>
            <w:pPr>
              <w:spacing w:after="0"/>
              <w:rPr>
                <w:sz w:val="21"/>
                <w:szCs w:val="21"/>
                <w:color w:val="auto"/>
              </w:rPr>
            </w:pPr>
          </w:p>
        </w:tc>
      </w:tr>
      <w:tr>
        <w:trPr>
          <w:trHeight w:val="24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60" w:type="dxa"/>
            <w:vAlign w:val="bottom"/>
            <w:shd w:val="clear" w:color="auto" w:fill="CFF0FC"/>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60" w:type="dxa"/>
            <w:vAlign w:val="bottom"/>
          </w:tcPr>
          <w:p>
            <w:pPr>
              <w:spacing w:after="0"/>
              <w:rPr>
                <w:sz w:val="21"/>
                <w:szCs w:val="2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November 1, 2019 there were 22 stockholders of record of our common stock, which excludes stockholders whose shares were held in nominee or street name by brokers.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declared or paid cash dividends on our common stock, and we do not expect to declare or pay any cash dividends for the foreseeable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r>
        <w:rPr>
          <w:rFonts w:ascii="Times New Roman" w:cs="Times New Roman" w:eastAsia="Times New Roman" w:hAnsi="Times New Roman"/>
          <w:sz w:val="15"/>
          <w:szCs w:val="15"/>
          <w:b w:val="1"/>
          <w:bCs w:val="1"/>
          <w:color w:val="auto"/>
        </w:rPr>
        <w:t>(1)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shows a comparison from September 30, 2013 through September 30, 2019 of cumulative total return on assumed investments of</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7" w:name="page58"/>
    <w:bookmarkEnd w:id="57"/>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COMPARISON OF FIVE YEARS CUMULATIVE TOTAL RETURN</w:t>
      </w:r>
    </w:p>
    <w:p>
      <w:pPr>
        <w:spacing w:after="0" w:line="3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Among Enanta Pharmaceuticals, Inc., the NASDAQ Composite Index,</w:t>
      </w:r>
    </w:p>
    <w:p>
      <w:pPr>
        <w:spacing w:after="0" w:line="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160020</wp:posOffset>
            </wp:positionV>
            <wp:extent cx="5342890" cy="3627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289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592" w:hanging="592"/>
        <w:spacing w:after="0" w:line="266" w:lineRule="auto"/>
        <w:tabs>
          <w:tab w:leader="none" w:pos="592"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200" w:lineRule="exact"/>
        <w:rPr>
          <w:sz w:val="20"/>
          <w:szCs w:val="20"/>
          <w:color w:val="auto"/>
        </w:rPr>
      </w:pPr>
    </w:p>
    <w:p>
      <w:pPr>
        <w:spacing w:after="0" w:line="20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12"/>
          </w:cols>
          <w:pgMar w:left="248" w:top="657" w:right="339" w:bottom="1440" w:gutter="0" w:footer="0" w:header="0"/>
        </w:sectPr>
      </w:pPr>
    </w:p>
    <w:bookmarkStart w:id="58" w:name="page59"/>
    <w:bookmarkEnd w:id="58"/>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CONSOLIDATED FINANCIAL DATA</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derived the consolidated statements of operations data for the years ended September 30, 2019, 2018, and 2017 and the consolidated balance sheet data as of September 30, 2019 and 2018 from our audited financial statements included elsewhere in this Annual Report on Form 10-K. The selected statements of operations data for the years ended September 30, 2016 and 2015 and the balance sheet data as of September 30, 2017, 2016 and 2015 are derived from our audited financial statements not included in this Annual Report on Form 10-K. Our historical results for any prior period are not necessarily indicative of any results to be expected for any future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8"/>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8"/>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205,197</w:t>
            </w:r>
          </w:p>
        </w:tc>
        <w:tc>
          <w:tcPr>
            <w:tcW w:w="18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206,625</w:t>
            </w:r>
          </w:p>
        </w:tc>
        <w:tc>
          <w:tcPr>
            <w:tcW w:w="22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102,814</w:t>
            </w:r>
          </w:p>
        </w:tc>
        <w:tc>
          <w:tcPr>
            <w:tcW w:w="240" w:type="dxa"/>
            <w:vAlign w:val="bottom"/>
          </w:tcPr>
          <w:p>
            <w:pPr>
              <w:spacing w:after="0"/>
              <w:rPr>
                <w:sz w:val="19"/>
                <w:szCs w:val="19"/>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88,268</w:t>
            </w:r>
          </w:p>
        </w:tc>
        <w:tc>
          <w:tcPr>
            <w:tcW w:w="18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160,880</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142,213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168,459</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78,200</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124,148</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125,455</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(9,237)</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(46,463)</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40" w:type="dxa"/>
            <w:vAlign w:val="bottom"/>
          </w:tcPr>
          <w:p>
            <w:pPr>
              <w:spacing w:after="0"/>
              <w:rPr>
                <w:sz w:val="19"/>
                <w:szCs w:val="19"/>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18,673</w:t>
            </w:r>
          </w:p>
        </w:tc>
        <w:tc>
          <w:tcPr>
            <w:tcW w:w="100" w:type="dxa"/>
            <w:vAlign w:val="bottom"/>
            <w:shd w:val="clear" w:color="auto" w:fill="CFF0FC"/>
          </w:tcPr>
          <w:p>
            <w:pPr>
              <w:spacing w:after="0"/>
              <w:rPr>
                <w:sz w:val="19"/>
                <w:szCs w:val="19"/>
                <w:color w:val="auto"/>
              </w:rPr>
            </w:pPr>
          </w:p>
        </w:tc>
      </w:tr>
      <w:tr>
        <w:trPr>
          <w:trHeight w:val="234"/>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19,295</w:t>
            </w:r>
          </w:p>
        </w:tc>
        <w:tc>
          <w:tcPr>
            <w:tcW w:w="100" w:type="dxa"/>
            <w:vAlign w:val="bottom"/>
          </w:tcPr>
          <w:p>
            <w:pPr>
              <w:spacing w:after="0"/>
              <w:rPr>
                <w:sz w:val="20"/>
                <w:szCs w:val="20"/>
                <w:color w:val="auto"/>
              </w:rPr>
            </w:pPr>
          </w:p>
        </w:tc>
      </w:tr>
      <w:tr>
        <w:trPr>
          <w:trHeight w:val="431"/>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400,249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325,119</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293,707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242,203</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209,443</w:t>
            </w:r>
          </w:p>
        </w:tc>
        <w:tc>
          <w:tcPr>
            <w:tcW w:w="100" w:type="dxa"/>
            <w:vAlign w:val="bottom"/>
          </w:tcPr>
          <w:p>
            <w:pPr>
              <w:spacing w:after="0"/>
              <w:rPr>
                <w:sz w:val="21"/>
                <w:szCs w:val="21"/>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379,239</w:t>
            </w: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364,364</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216,837</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224,267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163,937</w:t>
            </w:r>
          </w:p>
        </w:tc>
        <w:tc>
          <w:tcPr>
            <w:tcW w:w="100" w:type="dxa"/>
            <w:vAlign w:val="bottom"/>
            <w:shd w:val="clear" w:color="auto" w:fill="CFF0FC"/>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489,829</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414,227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326,637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246,013</w:t>
            </w:r>
          </w:p>
        </w:tc>
        <w:tc>
          <w:tcPr>
            <w:tcW w:w="100" w:type="dxa"/>
            <w:vAlign w:val="bottom"/>
          </w:tcPr>
          <w:p>
            <w:pPr>
              <w:spacing w:after="0"/>
              <w:rPr>
                <w:sz w:val="21"/>
                <w:szCs w:val="21"/>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21"/>
                <w:szCs w:val="21"/>
                <w:color w:val="auto"/>
              </w:rPr>
            </w:pP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462,492</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393,679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301,676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269,936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236,157</w:t>
            </w:r>
          </w:p>
        </w:tc>
        <w:tc>
          <w:tcPr>
            <w:tcW w:w="100" w:type="dxa"/>
            <w:vAlign w:val="bottom"/>
          </w:tcPr>
          <w:p>
            <w:pPr>
              <w:spacing w:after="0"/>
              <w:rPr>
                <w:sz w:val="21"/>
                <w:szCs w:val="21"/>
                <w:color w:val="auto"/>
              </w:rPr>
            </w:pPr>
          </w:p>
        </w:tc>
      </w:tr>
      <w:tr>
        <w:trPr>
          <w:trHeight w:val="648"/>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9" w:name="page60"/>
    <w:bookmarkEnd w:id="59"/>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direct-acting antiviral (DAA) combination treatment for HCV and marketed under the tradenames MAVYRET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(U.S.) and MAVIRET™ (ex-U.S.) (glecaprevir/pibrentasvir). Our royalties from our AbbVie collaboration and our existing financial resources provide us funding to support our wholly-owned research and development programs, which are primarily focused on the following disease targets with the following compounds in clinical development:</w:t>
      </w:r>
    </w:p>
    <w:p>
      <w:pPr>
        <w:spacing w:after="0" w:line="80" w:lineRule="exact"/>
        <w:rPr>
          <w:sz w:val="20"/>
          <w:szCs w:val="20"/>
          <w:color w:val="auto"/>
        </w:rPr>
      </w:pPr>
    </w:p>
    <w:p>
      <w:pPr>
        <w:ind w:left="1200" w:right="120" w:hanging="598"/>
        <w:spacing w:after="0" w:line="261"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EDP-938, for respiratory syncytial virus, or RSV, infection,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71" w:lineRule="exact"/>
        <w:rPr>
          <w:rFonts w:ascii="Times New Roman" w:cs="Times New Roman" w:eastAsia="Times New Roman" w:hAnsi="Times New Roman"/>
          <w:sz w:val="18"/>
          <w:szCs w:val="18"/>
          <w:color w:val="auto"/>
        </w:rPr>
      </w:pPr>
    </w:p>
    <w:p>
      <w:pPr>
        <w:ind w:left="1200" w:right="60" w:hanging="598"/>
        <w:spacing w:after="0" w:line="282"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EDP-305, for non-alcoholic steatohepatitis, or NASH, a liver disease estimated to affect approximately 1.5% to 6.5% of the population in the developed world (which translates to approximately 5 to 20 million individuals in the U.S. alone); and</w:t>
      </w:r>
    </w:p>
    <w:p>
      <w:pPr>
        <w:spacing w:after="0" w:line="53" w:lineRule="exact"/>
        <w:rPr>
          <w:rFonts w:ascii="Times New Roman" w:cs="Times New Roman" w:eastAsia="Times New Roman" w:hAnsi="Times New Roman"/>
          <w:sz w:val="18"/>
          <w:szCs w:val="18"/>
          <w:color w:val="auto"/>
        </w:rPr>
      </w:pPr>
    </w:p>
    <w:p>
      <w:pPr>
        <w:ind w:left="1200" w:right="700" w:hanging="598"/>
        <w:spacing w:after="0" w:line="282" w:lineRule="auto"/>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EDP-514, for hepatitis B virus, or HBV, the most prevalent chronic hepatitis, which is estimated to affect approximately 250 million individuals worldwide.</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had approximately $400 million in cash, cash equivalents and short-term and long-term marketable securities at September 30, 2019. In fiscal 2019, we earned $205.2 million in product royalties on AbbVie’s net sales of its HCV regimens. We expect our existing financial resources and cash flows from continuing AbbVie royalties will allow us to continue to fund our wholly-owned research and development programs for the foreseeable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wholly-owned research and development programs are in virology, namely RSV and HBV, and in liver disease (non-virology), namely NASH and PBC:</w:t>
      </w:r>
    </w:p>
    <w:p>
      <w:pPr>
        <w:spacing w:after="0" w:line="117" w:lineRule="exact"/>
        <w:rPr>
          <w:sz w:val="20"/>
          <w:szCs w:val="20"/>
          <w:color w:val="auto"/>
        </w:rPr>
      </w:pPr>
    </w:p>
    <w:p>
      <w:pPr>
        <w:ind w:left="1200" w:hanging="598"/>
        <w:spacing w:after="0" w:line="266" w:lineRule="auto"/>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discovered EDP-938, a potent N-protein inhibitor of activity of both major subgroups of RSV, referred to as RSV-A and RSV-B, and have tested it as our first clinical candidate for RSV. EDP-938, which has been granted Fast Track designation by the U.S. Food and Drug Administration (FDA), is the only N-protein inhibitor in clinical development.</w:t>
      </w:r>
    </w:p>
    <w:p>
      <w:pPr>
        <w:spacing w:after="0" w:line="53" w:lineRule="exact"/>
        <w:rPr>
          <w:rFonts w:ascii="Times New Roman" w:cs="Times New Roman" w:eastAsia="Times New Roman" w:hAnsi="Times New Roman"/>
          <w:sz w:val="18"/>
          <w:szCs w:val="18"/>
          <w:color w:val="auto"/>
        </w:rPr>
      </w:pPr>
    </w:p>
    <w:p>
      <w:pPr>
        <w:ind w:left="1800" w:right="60" w:hanging="594"/>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In June 2019, we announced positive topline results from our Phase 2a human challenge study of EDP-938 in healthy adults infected with a specific strain of RSV.</w:t>
      </w:r>
    </w:p>
    <w:p>
      <w:pPr>
        <w:spacing w:after="0" w:line="53" w:lineRule="exact"/>
        <w:rPr>
          <w:rFonts w:ascii="Times New Roman" w:cs="Times New Roman" w:eastAsia="Times New Roman" w:hAnsi="Times New Roman"/>
          <w:sz w:val="18"/>
          <w:szCs w:val="18"/>
          <w:color w:val="auto"/>
        </w:rPr>
      </w:pPr>
    </w:p>
    <w:p>
      <w:pPr>
        <w:ind w:left="1800" w:hanging="594"/>
        <w:spacing w:after="0" w:line="25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In November 2019, we initiated our first Phase 2b study of EDP-938, which is in adult outpatients with community-acquired RSV infection. This study, named RSVP, is designed to help us better understand the feasibility of this direct-acting antiviral (DAA) therapy. At the same time, we are preparing to conduct further studies in targeted patient populations such as the immune-compromised, the elderly and pediatric populations. If we are able to complete the RSVP study in one RSV season in North America, topline data could be announced in the third quarter of calendar 2020.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0" w:name="page61"/>
    <w:bookmarkEnd w:id="60"/>
    <w:p>
      <w:pPr>
        <w:ind w:left="1200" w:right="80" w:hanging="598"/>
        <w:spacing w:after="0" w:line="256"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NASH:</w:t>
      </w:r>
      <w:r>
        <w:rPr>
          <w:rFonts w:ascii="Times New Roman" w:cs="Times New Roman" w:eastAsia="Times New Roman" w:hAnsi="Times New Roman"/>
          <w:sz w:val="18"/>
          <w:szCs w:val="18"/>
          <w:color w:val="auto"/>
        </w:rPr>
        <w:t xml:space="preserve"> We are working on compounds, referred to as FXR agonists, that selectively bind to and activate the farnesoid X receptor, or FXR. FXR agonists have shown efficacy in NASH and we believe that this mechanism has promise as an important component in potential combination therapies for NASH. We have EDP-305 ready for a Phase 2b study and we have identified a follow-on compound, EDP-297, to initiate clinical development in mid-calendar 2020. We plan to develop at least one of these compounds primarily for use in combination treatments of NASH, a liver disease with very few therapeutic options. Our lead FXR agonist, EDP-305, represents a class of FXR agonists designed to take advantage of increased binding interactions with this receptor.</w:t>
      </w:r>
    </w:p>
    <w:p>
      <w:pPr>
        <w:spacing w:after="0" w:line="64" w:lineRule="exact"/>
        <w:rPr>
          <w:rFonts w:ascii="Times New Roman" w:cs="Times New Roman" w:eastAsia="Times New Roman" w:hAnsi="Times New Roman"/>
          <w:sz w:val="18"/>
          <w:szCs w:val="18"/>
          <w:color w:val="auto"/>
        </w:rPr>
      </w:pPr>
    </w:p>
    <w:p>
      <w:pPr>
        <w:ind w:left="1800" w:right="160" w:hanging="594"/>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In September 2019, we announced results of our ARGON-1 study, a 12-week, randomized, double-blind, placebo-controlled Phase 2a study evaluating the safety, tolerability, pharmacokinetics and efficacy of EDP-305 in a NASH population.</w:t>
      </w:r>
    </w:p>
    <w:p>
      <w:pPr>
        <w:spacing w:after="0" w:line="53" w:lineRule="exact"/>
        <w:rPr>
          <w:rFonts w:ascii="Times New Roman" w:cs="Times New Roman" w:eastAsia="Times New Roman" w:hAnsi="Times New Roman"/>
          <w:sz w:val="18"/>
          <w:szCs w:val="18"/>
          <w:color w:val="auto"/>
        </w:rPr>
      </w:pPr>
    </w:p>
    <w:p>
      <w:pPr>
        <w:ind w:left="1800" w:right="40" w:hanging="594"/>
        <w:spacing w:after="0" w:line="261"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In the second quarter of calendar 2020, we plan to initiate a 72-week Phase 2b study, named ARGON-2, with histological endpoints, including fibrosis in biopsy-confirmed NASH patients treated with EDP-305 or placebo. The study will include interim analysis to enhance our ability to seek opportunities more quickly for development of EDP-305 in combinations with other mechanisms for NASH.</w:t>
      </w:r>
    </w:p>
    <w:p>
      <w:pPr>
        <w:spacing w:after="0" w:line="71" w:lineRule="exact"/>
        <w:rPr>
          <w:rFonts w:ascii="Times New Roman" w:cs="Times New Roman" w:eastAsia="Times New Roman" w:hAnsi="Times New Roman"/>
          <w:sz w:val="18"/>
          <w:szCs w:val="18"/>
          <w:color w:val="auto"/>
        </w:rPr>
      </w:pPr>
    </w:p>
    <w:p>
      <w:pPr>
        <w:ind w:left="1800" w:right="460" w:hanging="594"/>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Additionally, in November 2019, we identified EDP-297 as our follow-on FXR development candidate for which we expect to initiate Phase 1 development in mid-calendar 2020.</w:t>
      </w:r>
    </w:p>
    <w:p>
      <w:pPr>
        <w:spacing w:after="0" w:line="53" w:lineRule="exact"/>
        <w:rPr>
          <w:rFonts w:ascii="Times New Roman" w:cs="Times New Roman" w:eastAsia="Times New Roman" w:hAnsi="Times New Roman"/>
          <w:sz w:val="18"/>
          <w:szCs w:val="18"/>
          <w:color w:val="auto"/>
        </w:rPr>
      </w:pPr>
    </w:p>
    <w:p>
      <w:pPr>
        <w:ind w:left="1800" w:hanging="594"/>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We also have an ongoing Phase 2a study, named INTREPID, to assess the safety, tolerability, pharmacokinetics and efficacy of EDP-305 in subjects with PBC. We expect to have data from this study in the second quarter of calendar 2020.</w:t>
      </w:r>
    </w:p>
    <w:p>
      <w:pPr>
        <w:spacing w:after="0" w:line="53" w:lineRule="exact"/>
        <w:rPr>
          <w:rFonts w:ascii="Times New Roman" w:cs="Times New Roman" w:eastAsia="Times New Roman" w:hAnsi="Times New Roman"/>
          <w:sz w:val="18"/>
          <w:szCs w:val="18"/>
          <w:color w:val="auto"/>
        </w:rPr>
      </w:pPr>
    </w:p>
    <w:p>
      <w:pPr>
        <w:ind w:left="1800" w:right="40" w:hanging="594"/>
        <w:spacing w:after="0" w:line="28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In addition, we have been pursuing research in other mechanisms that may provide therapeutic benefit in NASH, any of which could be used in combination with an FXR agonist or other therapies for NASH.</w:t>
      </w:r>
    </w:p>
    <w:p>
      <w:pPr>
        <w:spacing w:after="0" w:line="68" w:lineRule="exact"/>
        <w:rPr>
          <w:rFonts w:ascii="Times New Roman" w:cs="Times New Roman" w:eastAsia="Times New Roman" w:hAnsi="Times New Roman"/>
          <w:sz w:val="18"/>
          <w:szCs w:val="18"/>
          <w:color w:val="auto"/>
        </w:rPr>
      </w:pPr>
    </w:p>
    <w:p>
      <w:pPr>
        <w:ind w:left="1200" w:right="60" w:hanging="598"/>
        <w:spacing w:after="0" w:line="28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In July 2019, we announced initiation of a Phase 1a/1b clinical study of EDP-514, our lead core inhibitor for the treatment of hepatitis B virus (HBV).</w:t>
      </w:r>
    </w:p>
    <w:p>
      <w:pPr>
        <w:spacing w:after="0" w:line="38" w:lineRule="exact"/>
        <w:rPr>
          <w:rFonts w:ascii="Times New Roman" w:cs="Times New Roman" w:eastAsia="Times New Roman" w:hAnsi="Times New Roman"/>
          <w:sz w:val="18"/>
          <w:szCs w:val="18"/>
          <w:color w:val="auto"/>
        </w:rPr>
      </w:pPr>
    </w:p>
    <w:p>
      <w:pPr>
        <w:ind w:left="1800" w:right="140" w:hanging="594"/>
        <w:spacing w:after="0" w:line="2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The randomized, double-blind, placebo-controlled Phase 1a/1b study is designed to evaluate first the safety, tolerability and pharmacokinetics (PK) of single ascending doses (SAD) and multiple ascending doses (MAD) of EDP-514 in healthy subjects, and then the antiviral activity of EDP-514 in nucleos(t)ide-reverse-transcriptase (NUC)-suppressed patients with chronic HBV infection. The completion of the SAD and MAD part of the study is targeted for the first quarter of calendar 2020, when we will initiate Part 2 of the study to evaluate NUC-suppressed patients. We are also planning a separate Phase 1b study in viremic patients with chronic HBV infection, which we plan to initiate in the second quarter of calendar 2020.</w:t>
      </w:r>
    </w:p>
    <w:p>
      <w:pPr>
        <w:spacing w:after="0" w:line="9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in our areas of focus as well as in other areas.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Our Out-Licensed Products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Through our Collaborative Development and License Agreement with AbbVie, we have discovered and out-licensed to AbbVie the protease inhibitor compound glecaprevir that is part of AbbVie’s combination regimen for HCV currently marketed under the brand names MAVYRET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(U.S.) and MAVIRET™ (ex-U.S.) and referred to in this report as MAVYRET/MAVIRET. This regimen is a novel, once daily, all oral, fixed-dose, ribavirin-free treatment for HCV genotypes 1-6, or GT1-6, which is referred to as being pan-genotypic. In the U.S., EU and Japan and other jurisdictions where it is approved as an 8-week treatment for patients with and without compensated cirrhosis and new to treatment. Today, these patients are estimated to represent the majority of HCV patients in developed country markets, and MAVYRET/MAVIRET remains the only 8-week pangenotypic HCV treatment.</w:t>
      </w:r>
    </w:p>
    <w:p>
      <w:pPr>
        <w:spacing w:after="0" w:line="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(see Note 7 in Notes to Consolidated Financial Statements). These royalties are calculated separately from the royalties on AbbVie’s paritaprevir-containing regimens, and the annual royalty tiers for each protease inhibitor product return to the lowest tier for sales on and after each January 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towards the discovery and development of novel compounds for the treatment of viral infections and liver diseases. In 2019, we completed the ARGON-1 study of EDP-305 in NASH patients, and our INTREPID study in PBC patients is ongoing through calendar 2019 with an ARGON-2 study planned to begin in the second quarter of calendar 2020. We also expect to initiate a Phase 1 study of EDP-297, our FXR follow-on development candidate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mid-calendar 2020. In our HBV program, we announced the initiation of a Phase 1a/1b study of EDP-514 for the treatment of HBV in July 2019. As a result of our clinical development program as well as efforts to advance other compounds into preclinical development, we expect to incur greater expenses in fiscal 2020 than in 2019 as we continue to advance our RSV, NASH and HBV programs.</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funding our operations primarily through our existing cash, cash equivalent, and short-term and long-term marketable securities as well as payments received under our collaboration agreement with AbbVie, which are dependent on royalty payments we receive from AbbVie on its sales of MAVYRET/MAVIRET.</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Given the uncertainty regarding the level of AbbVie’s future MAVYRET/MAVIRET sales that will generate our royalty revenue as well as the development risks affecting the extent and timing of our future expenditures for the advancement of our internally developed compounds, it is uncertain whether we will continue to report net income in future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revenue is derived from our collaboration agreement with AbbVie. In our fiscal year ended September 30, 2017, we generated royalty revenue from AbbVie’s net sales allocable to paritaprevir, which was part of AbbVie’s initial treatment regimens for HCV approved in the U.S. in December 2014 and in the EU and dozens of other countries subsequently. Since then, AbbVie received approvals of its newest HCV regimen, MAVYRET/MAVIRET, in the U.S. and EU in the summer of 2017. Substantially all our royalty revenues are now derived from the MAVYRET/MAVIRET as this regimen generally has a shorter treatment duration (8-week treatment as approved in the EU, U.S. and Japan versus 12 weeks for paritaprevir and competitive regimens) and is pan-genotypic.</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657"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years ended September 30, 2019, 2018, and 2017:</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AbbVie agreement:</w:t>
            </w: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60" w:type="dxa"/>
            <w:vAlign w:val="bottom"/>
            <w:gridSpan w:val="2"/>
            <w:vMerge w:val="continue"/>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Royalties</w:t>
            </w:r>
          </w:p>
        </w:tc>
        <w:tc>
          <w:tcPr>
            <w:tcW w:w="19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205,197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191,625</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Milestones</w:t>
            </w:r>
          </w:p>
        </w:tc>
        <w:tc>
          <w:tcPr>
            <w:tcW w:w="1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205,197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206,625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Agreement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receive annually tiered, double-digit royalties per protease inhibitor product on AbbVie’s net sales allocable to either of our collaboration’s protease inhibitor products.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 For detail regarding the royalty tiers under our AbbVie agreement, see Note 7 in Notes to Consolidated Financial Statements of this report which is incorporated herein by this reference.</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Since all of our research performance obligations under the AbbVie agreement were concluded by June 30, 2011, all milestone payments received since then have been recognized as revenue upon achievement of each milestone by AbbVie. During the fiscal year ended September 30, 2018, we earned and recognized as revenue the last milestone payment for glecaprevir, which was a $15.0 million milestone payment upon AbbVie’s achievement of commercialization regulatory approval of MAVIRET™ in Japan. During the fiscal year ended September 30, 2017, we earned and recognized as revenue a total of $65.0 million in milestone payments upon approval of the MAVYRET/MAVIRET regimen in the U.S. and EU.</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all of our revenue in 2020 to be generated from our collaboration agreement with AbbVie.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years ended September 30, 2019, 2018, and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94,856</w:t>
            </w:r>
          </w:p>
        </w:tc>
        <w:tc>
          <w:tcPr>
            <w:tcW w:w="4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168,459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118,297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78,200</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4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200" w:right="780" w:hanging="598"/>
        <w:spacing w:after="0" w:line="282"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personnel costs, including salaries, related benefits and stock-based compensation for employees engaged in scientific research and development functions</w:t>
      </w:r>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income (expense), net consists of interest income, interest expense and the change in fair value of our outstanding Series 1 nonconvertible preferred stock and, during the periods the Series 1 nonconvertible preferred stock warrants were outstanding, the change in fair value of our warrant liability. Interest income consists of interest earned on our cash equivalents and short-term and long-term marketable securities balances as well as interest earned for any refunds received from tax authorities. Interest expense consists of interest expense related to our capital lease obligation. The change in fair value of our Series 1 nonconvertible preferred stock (and warrant liability when the warrants were outstanding) relates to the remeasurement of these financial instruments from period to period as these instruments may require a transfer of assets because of the liquidation preference features of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underlying instrument. The change in fair value also includes the forfeiture of unexercised warrants which expired on October 4,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years ended September 30, 2019, 2018, and 2017 is the result of federal and state taxes attributable to our operating income.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equity,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The majority of revenue reported in this Form 10-K is derived under our agreement with AbbVie. Under this agreement, we have no ongoing deliverables and therefore, royalties and milestones received under this arrangement were recognized when earned. Prior to the adoption of ASU 2019-09,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on October 1, 2018, revenue was recognized only when the price is fixed or determinable, persuasive evidence of an arrangement exists, delivery has occurred or the services have been rendered, collectibility of the resulting receivable is reasonably assured, and we have fulfilled our performance obligations under the contract.</w:t>
      </w:r>
    </w:p>
    <w:p>
      <w:pPr>
        <w:spacing w:after="0" w:line="8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 xml:space="preserve">Prior to the adoption of ASU 2014-09 on October 1, 2018, we accounted for multiple-element revenue arrangements entered into or materially modified on or after October 1, 2011 under Accounting Standards Codification No. 605-25, </w:t>
      </w:r>
      <w:r>
        <w:rPr>
          <w:rFonts w:ascii="Times New Roman" w:cs="Times New Roman" w:eastAsia="Times New Roman" w:hAnsi="Times New Roman"/>
          <w:sz w:val="17"/>
          <w:szCs w:val="17"/>
          <w:i w:val="1"/>
          <w:iCs w:val="1"/>
          <w:color w:val="auto"/>
        </w:rPr>
        <w:t>Revenue Recognition Multiple-Deliverable Revenue Arrangements</w:t>
      </w:r>
      <w:r>
        <w:rPr>
          <w:rFonts w:ascii="Times New Roman" w:cs="Times New Roman" w:eastAsia="Times New Roman" w:hAnsi="Times New Roman"/>
          <w:sz w:val="17"/>
          <w:szCs w:val="17"/>
          <w:color w:val="auto"/>
        </w:rPr>
        <w:t>, or ASC 605-</w:t>
      </w:r>
    </w:p>
    <w:p>
      <w:pPr>
        <w:spacing w:after="0" w:line="1" w:lineRule="exact"/>
        <w:rPr>
          <w:sz w:val="20"/>
          <w:szCs w:val="20"/>
          <w:color w:val="auto"/>
        </w:rPr>
      </w:pPr>
    </w:p>
    <w:p>
      <w:pPr>
        <w:ind w:right="100" w:firstLine="8"/>
        <w:spacing w:after="0" w:line="250" w:lineRule="auto"/>
        <w:tabs>
          <w:tab w:leader="none" w:pos="2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prices of deliverables under the arrangement were derived using third-party evidence, (“TPE”) or a best estimate of selling price (“BESP”), if vendor-specific objective evidence (“VSOE”), was not available. The objective of BESP was to determine the price at which we would transact a sale if the element within the license agreement was sold on a standalone basis. Establishing BESP involved management’s judgment and considered multiple factors, including market conditions and company-specific factors such as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our BESP, we considered whether changes in key assumptions used to determine the BESP would have a significant effect on the allocation of the arrangement consideration between the multiple deliverables. Deliverables under a multiple-element arrangement were separated into multiple units if (i) the delivered item had value to the customer on a standalone basis and (ii) if the arrangement included a general right of return relative to the delivered item, delivery or performance of the undelivered item is considered probable and substantially within our control. In determining the separate units of accounting, we evaluated whether the license has standalone value to the collaborator based on consideration of the relevant facts and circumstances for each arrangement. Factors considered in this determination included the research and development capabilities of the collaborator and the availability of relevant research expertise in the marketplace. In addition, we considered whether or not</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collaborator could use the license for its intended purpose without the receipt of the remaining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5" w:name="page66"/>
    <w:bookmarkEnd w:id="65"/>
    <w:p>
      <w:pPr>
        <w:spacing w:after="0" w:line="261" w:lineRule="auto"/>
        <w:rPr>
          <w:sz w:val="20"/>
          <w:szCs w:val="20"/>
          <w:color w:val="auto"/>
        </w:rPr>
      </w:pPr>
      <w:r>
        <w:rPr>
          <w:rFonts w:ascii="Times New Roman" w:cs="Times New Roman" w:eastAsia="Times New Roman" w:hAnsi="Times New Roman"/>
          <w:sz w:val="18"/>
          <w:szCs w:val="18"/>
          <w:color w:val="auto"/>
        </w:rPr>
        <w:t>deliverables, (ii) the value of the license was dependent on the undelivered items, and (iii) the collaborator or other vendors would provide the undelivered items. The arrangement consideration that was fixed or determinable at the inception of the arrangement was then allocated to the separate units of accounting based on their relative selling prices. The appropriate revenue recognition model was applied to each element and revenue is accordingly recognized as each element is delivered.</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Royalty revenue is recognized based on contractual terms when reported sales are reliably measurable and collectibility is reasonably assured, provided that there are no performance obligations remaining.</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event that a collaborative research and license agreement is terminated and we then have no further performance obligations, we recognize as revenue any amounts that had not previously been recorded as revenue but were classified as deferred revenue at the date of such termination.</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October 1, 2018, we adopted ASU 2014-09, collectively referred to herein as ASC 606, which supersedes the revenue recognition requirements in ASC 605-25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We adopted ASC 606 as of October 1, 2018 using the modified retrospective transition method which did not have an impact on our consolidated financial statements as we satisfied our performance obligations under our AbbVie agreement prior to the adoption of ASC 606. The adoption of this guidance did not have an impact on our accounting for royalty payments as we receive sales-based royalties for which the license is deemed to be the predominant item to which the royalties relate.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Stock Options and Restricted Stock Unit Awards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measure stock awards with service-based conditions granted to employees and directors at fair value on the date of grant and recognize the corresponding stock-based compensation expense of those awards over the requisite service period, which is generally the vesting period of the respective award. Stock awards granted with service-based vesting conditions, which include restricted stock units and stock options, are recorded as an expense using the straight-line method. In the case of performance-based options, we recognize stock-based compensation expense related to these awards when achievement of the underlying research and development performance-based targets become probable, which have typically been in the same period as when the targets are achieved.</w:t>
      </w:r>
    </w:p>
    <w:p>
      <w:pPr>
        <w:spacing w:after="0" w:line="8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The fair value of each restricted stock unit granted is based on the fair value of our common stock on the date of grant. The fair value of each stock option award is estimated on the date of grant using the Black-Scholes option-pricing model. We grant stock options with exercise prices equivalent to the fair value of our common stock on the date of grant. Prior to fiscal 2018, our expected volatility was measured based on a combination of our historical stock volatility since our March 2013 IPO and the historical volatility of our publicly traded peer companies. In fiscal 2019, we utilized our historical stock volatility as we had adequate historical data regarding the volatility of our traded stock price following our March 2013 IPO. The expected term of our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Our expected dividend yield is 0 and is based on the fact that we have never paid cash dividends and do not expect to pay any cash dividends in the foreseeable future.</w:t>
      </w:r>
    </w:p>
    <w:p>
      <w:pPr>
        <w:spacing w:after="0" w:line="6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recognize stock-based compensation expense for only the portion of awards that vest. We recognize actual pre-vesting forfeitures for service-based options as they occur.</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These assumptions represent our best estimates, but the estimates involve inherent uncertainties and the application of our judgment. As a result, if factors change and we use significantly different assumptions or estimates, our stock-based compensation expense could be materially different.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 Market and Performance-based Stock Unit Awards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awards with service-based vesting conditions, we have also granted performance share units, or PSUs, and relative total stockholder return units, or rTSRUs, to certain of our executives. The number of units represents the target number of shares of common stock that may be earned; however, the actual number of shares that may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6" w:name="page67"/>
    <w:bookmarkEnd w:id="66"/>
    <w:p>
      <w:pPr>
        <w:spacing w:after="0" w:line="261" w:lineRule="auto"/>
        <w:rPr>
          <w:sz w:val="20"/>
          <w:szCs w:val="20"/>
          <w:color w:val="auto"/>
        </w:rPr>
      </w:pPr>
      <w:r>
        <w:rPr>
          <w:rFonts w:ascii="Times New Roman" w:cs="Times New Roman" w:eastAsia="Times New Roman" w:hAnsi="Times New Roman"/>
          <w:sz w:val="18"/>
          <w:szCs w:val="18"/>
          <w:color w:val="auto"/>
        </w:rPr>
        <w:t>earned ranges from 0% to 150% of the target number, depending on the terms of the award. The fair value of PSUs is based on the fair value of our common stock on the date of grant. The fair value of rTSRUs is based on a Monte Carlo simulation model. Assumptions and estimates utilized in the calculation of the fair value of the rTSRUs include the risk-free interest rate, dividend yield, average closing price, expected volatility based on the historical volatility of publicly traded peer companies and the remaining performance period of the award.</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PSUs vest and result in issuance, at settlement, of common shares for each recipient based upon the recipient’s continued employment with us through the settlement date of the award and our achievement of specified research and development milestones. The requisite service period of the PSUs is generally 2 years. In the case of PSUs, we recognize stock-based compensation expense based on the grant date fair value of the award when achievement of the underlying research and development performance-based targets become probable, which have typically been in the same period as when the research and development milestones are achieved.</w:t>
      </w:r>
    </w:p>
    <w:p>
      <w:pPr>
        <w:spacing w:after="0" w:line="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rTSRUs vest and result in the issuance of common stock based upon the recipient’s continuing employment with us through the settlement date of the award and the relative ranking of the total stockholder return, or TSR, of our common stock in relation to the TSR of the component companies in the NASDAQ Biotech Index, generally over a two-year period based on a comparison of average closing stock prices in specified periods noted in the award agreement. The fair value related to the rTSRUs is recorded as stock-based compensation expense over the period from date of grant to the settlement date regardless of whether the related target relative total stockholder return is achieved.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Clinical Manufacturing Accruals</w:t>
      </w:r>
    </w:p>
    <w:p>
      <w:pPr>
        <w:spacing w:after="0" w:line="121"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We have entered into various contracts with third parties to perform research and development and clinical manufacturing. These include contracts with contract research organizations (“CROs”), clinical manufacturing organizations (“CMOs”), testing laboratories, research hospitals and not-for-profit organizations and other entities to support our research and development activities. We expense the cost of each contract as the work is performed. When billing terms under these contracts do not coincide with the timing of when the work is performed, we are required to make estimates of our outstanding obligation as of period end to those third parties. Our accrual estimates are based on a number of factors, including our knowledge of the research and development programs and clinical manufacturing activities associated with timelines, invoicing to date, and the provisions in the contract. Significant judgments and estimates are made in determining the accrued balances at the end of any reporting period. Actual results could differ from our estimates.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taxes are provided for tax effects of transactions reported in the consolidated financial statements and consist of income taxes currently due plus deferred income taxes related to timing differences between the basis of certain assets and liabilities for financial statement reporting purposes and the basis for income tax reporting purposes.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income tax expense.</w:t>
      </w:r>
    </w:p>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if, based upon the weight of available evidence, it is more likely than not that some or all of the deferred tax assets will not be realized. At each balance sheet date, we assess the likelihood that deferred tax assets will be realized and recognize a valuation allowance if it is more likely than not that all or some portion of the deferred tax assets will not be realized. Assessment of the potential recovery of deferred tax assets requires significant judgment and is evaluated by estimating the future taxable income expected and considering prudent and feasible tax planning strategies. As of September 30, 2019, we continue to believe it is more likely than not that we will be able to realize our deferred tax assets and therefore no valuation allowance has been recorded.</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We account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to be recognized in the financial statements. The amount that may be recognized is the largest amount that has a greater than 50% likelihood of being realized</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7" w:name="page68"/>
    <w:bookmarkEnd w:id="67"/>
    <w:p>
      <w:pPr>
        <w:ind w:right="160"/>
        <w:spacing w:after="0" w:line="282" w:lineRule="auto"/>
        <w:rPr>
          <w:sz w:val="20"/>
          <w:szCs w:val="20"/>
          <w:color w:val="auto"/>
        </w:rPr>
      </w:pPr>
      <w:r>
        <w:rPr>
          <w:rFonts w:ascii="Times New Roman" w:cs="Times New Roman" w:eastAsia="Times New Roman" w:hAnsi="Times New Roman"/>
          <w:sz w:val="18"/>
          <w:szCs w:val="18"/>
          <w:color w:val="auto"/>
        </w:rPr>
        <w:t>upon ultimate settlement. Income tax expense includes the effects of any resulting tax reserves, or unrecognized tax benefits, that are considered appropriate as well as the related net interest and penalties.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September 30, 2019, 2018, and 2017</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205,197</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206,625</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102,814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142,213</w:t>
            </w:r>
          </w:p>
        </w:tc>
        <w:tc>
          <w:tcPr>
            <w:tcW w:w="3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94,856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23,441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4,852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shd w:val="clear" w:color="auto" w:fill="CFF0FC"/>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 and Series 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nonconvertible preferred stock, net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(21,165)</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(9,237)</w:t>
            </w:r>
          </w:p>
        </w:tc>
      </w:tr>
    </w:tbl>
    <w:p>
      <w:pPr>
        <w:spacing w:after="0" w:line="3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recognized revenue of $205.2 million during the year ended September 30, 2019, as compared to $206.6 million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2018. The decrease in revenue of $1.4 million year-over-year was due to the fact that in fiscal 2018 we received the final milestone payment of $15.0 million earned under our AbbVie agreement related to reimbursement approval for MAVIRET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in Japan. This decrease was offset by an increase of $13.6 million in royalties earned under our AbbVie agreement which were driven by the launch of MAVYRET/MAVIRET in late calendar 2017. Our weighted average royalty rate on the portion of AbbVie’s sales allocable to our protease inhibitor products was approximately 13% and 12% during the years ended September 30, 2019 and 2018, respectively.</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recognized revenue of $206.6 million during the year ended September 30, 2018 compared to $102.8 million during the year ended September 30, 2017. The increase in revenue of $103.8 million year-over-year was due to increased royalties of $153.8 million earned under our AbbVie agreement as a result of the launch of MAVYRET/MAVIRET in late 2017, which was partially offset by lower milestone revenue earned in fiscal 2018 under our AbbVie agreement based on timing of milestone payments earned for MAVYRET/MAVIRET commercialization regulatory approvals. Substantially all of our royalties earned in fiscal 2018 were related to royalties earned on the portion of AbbVie’s net sales of MAVRYET/MAVIRET. Our fiscal 2017 royalties were primarily based on royalties earned on the portion of AbbVie’s net sales of the paritaprevir-containing regimen, which carries a lower royalty allocation rate compared to MAVYRET/MAVIRET.</w:t>
      </w:r>
    </w:p>
    <w:p>
      <w:pPr>
        <w:spacing w:after="0" w:line="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 (See Note 7 to our consolidated financial statements for further details on our royalty rate tier.)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programs: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Virology</w:t>
            </w:r>
          </w:p>
        </w:tc>
        <w:tc>
          <w:tcPr>
            <w:tcW w:w="17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Liver disease</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54,691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142,213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57,451</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8" w:name="page69"/>
    <w:bookmarkEnd w:id="68"/>
    <w:p>
      <w:pPr>
        <w:ind w:right="6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$47.4 million for the year ended September 30, 2019 as compared to the same period in 2018. The increase was primarily due to progression of clinical activities in our liver disease (non-virology) and virology programs. In fiscal 2018 we initiated two Phase 2 studies of EDP-305 which continued into 2019 and advanced other compounds in preclinical development in our liver disease programs. In addition to these ongoing studies in our liver disease programs, in fiscal 2019 we initiated and completed part 1 of a Phase 2a human challenge study of EDP-938 and initiated a Phase 1a/1b clinical study of EDP-514, both of which are part of our virology programs. Increases in our research and development expenses were driven by an increase in headcount to support our programs and an increase in external costs for clinical activities.</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$37.4 million for the year ended September 30, 2018 as compared to the same period in 2017. The increase was primarily due to progression of preclinical and clinical activities in our liver disease and virology programs. In fiscal 2018 we initiated two Phase 2 studies of EDP-305 and advanced other compounds in preclinical development in our liver disease programs. In our virology programs, we also completed a Phase 1 clinical study of EDP-938 in fiscal 2018 and prepared for a Phase 2a human challenge study of EDP-938, which we initiated in October 2018. In November 2018, we advanced our first clinical candidate for HBV to ready it for clinical development. Increases in our research and development expenses were driven by an increase in headcount to support our programs and an increase in external costs for clinical and preclinical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research and development expenses will continue to increase in the future as we conduct more clinical development activities.</w:t>
      </w:r>
    </w:p>
    <w:p>
      <w:pPr>
        <w:spacing w:after="0" w:line="11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$2.8 million for the year ended September 30, 2019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in 2018. The increase was primarily due to an increase in compensation expense due to increased headcount as well as an increase in patent costs to support our broadening patent portfolio.</w:t>
      </w:r>
    </w:p>
    <w:p>
      <w:pPr>
        <w:spacing w:after="0" w:line="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$2.7 million for the year ended September 30, 2018 as compared to the same period in 2017. The increase was primarily due to an increase in compensation expense due to increased headcount and to a lesser extent an increase in external accounting and consulting fees.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general and administrative expenses will continue to increase in the future as our operations grow to support further research and development.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Changes in components of other income (expense), net were as follows:</w:t>
      </w:r>
    </w:p>
    <w:p>
      <w:pPr>
        <w:spacing w:after="0" w:line="11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(expense), net</w:t>
      </w:r>
      <w:r>
        <w:rPr>
          <w:rFonts w:ascii="Times New Roman" w:cs="Times New Roman" w:eastAsia="Times New Roman" w:hAnsi="Times New Roman"/>
          <w:sz w:val="18"/>
          <w:szCs w:val="18"/>
          <w:color w:val="auto"/>
        </w:rPr>
        <w:t>. Interest income (expense), net, increased by $4.0 million for the year ended September 30, 2019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2018, primarily due to higher average marketable securities balances in 2019 as a result of receipt of significant royalties in 2019 under our AbbVie agreement.</w:t>
      </w:r>
    </w:p>
    <w:p>
      <w:pPr>
        <w:spacing w:after="0" w:line="6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Interest income (expense), net, increased by $2.4 million for the year ended September 30, 2018 as compared to the same period in 2017, primarily due to higher average investment balances in 2018 as a result of receipt of significant milestones and royalties in 2018 under our AbbVie agreement and an increase in interest rates for fiscal 2018 as compared to the same period in 2017.</w:t>
      </w:r>
    </w:p>
    <w:p>
      <w:pPr>
        <w:spacing w:after="0" w:line="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Change in fair value of warrant liability and Series 1 nonconvertible preferred stock</w:t>
      </w:r>
      <w:r>
        <w:rPr>
          <w:rFonts w:ascii="Times New Roman" w:cs="Times New Roman" w:eastAsia="Times New Roman" w:hAnsi="Times New Roman"/>
          <w:sz w:val="18"/>
          <w:szCs w:val="18"/>
          <w:color w:val="auto"/>
        </w:rPr>
        <w:t>. We recognized no other income (expense) for the year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2019 and expense of $0.1 million for the year ended September 30, 2018. In fiscal 2019, we determined that no fair value adjustment was required for our outstanding Series 1 nonconvertible preferred stock. In fiscal 2018, we recognized expense due to the increase in fair value of outstanding Series 1 nonconvertible preferred stock year over year, offset by the expiration of unexercised warrants outstanding as of October 4, 2017. We recognized expense in our fiscal 2017 due to an increase in fair value of these outstanding liabilities year over year.</w:t>
      </w:r>
    </w:p>
    <w:p>
      <w:pPr>
        <w:spacing w:after="0" w:line="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We recorded an income tax benefit of $0.8 million and expense of $(21.2) million for the years ended September 30, 2019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respectively. The effective tax rate benefit for the year ended September 30, 2019 was 1.8% and for the year ended September 30, 2108 was an effective tax rate of 22.7%. The decrease in income tax expense was primarily due to a decrease in income before taxes year over year, a federal income tax benefit associated with foreign-derived royalty income recognized in 2019, an increase in federal research and development tax credits due to increased research and development expenses and an increase in tax</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ind w:right="140"/>
        <w:spacing w:after="0" w:line="266" w:lineRule="auto"/>
        <w:rPr>
          <w:sz w:val="20"/>
          <w:szCs w:val="20"/>
          <w:color w:val="auto"/>
        </w:rPr>
      </w:pPr>
      <w:r>
        <w:rPr>
          <w:rFonts w:ascii="Times New Roman" w:cs="Times New Roman" w:eastAsia="Times New Roman" w:hAnsi="Times New Roman"/>
          <w:sz w:val="18"/>
          <w:szCs w:val="18"/>
          <w:color w:val="auto"/>
        </w:rPr>
        <w:t>deductions from employee stock-award related activity during 2019. The 2018 effective tax rate was driven by higher income before taxes as well as a non-cash revaluation charge against deferred tax assets due to the reduced federal corporate income tax rate in the U.S. Tax Cuts and Jobs Act (the “Tax Act”) enacted in December 2017.</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Income tax expense was $21.2 million and $9.2 million for the years ended September 30, 2018 and 2017, respectively. The effective tax rates for the years ended September 30, 2018 and 2017 were 22.7% and 34.3%, respectively. The increase in income tax expense was primarily due to an increase in income before taxes as a result of an increase in royalties earned under our AbbVie agreement year over year as well as a revaluation adjustment against deferred tax assets due to a decrease in the federal corporate income tax rate as enacted under the Tax Act in December 2017. The decrease in the effective tax rate was primarily due to the enactment of the Tax Act in December 2017, which decreased the U.S. federal statutory rate from 35.0% to 21.0%, as well as an increase in federal research and development tax credits due to increased research and development expenses and an increase in tax deductions from employee stock-award related activity during 2018.</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(expense) for all periods presented was attributable to the tax provision on earnings of our operations, all of which are domestic.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fiscal 2019, 2018 and 2017, we funded our operations with cash flows generated from operations. At September 30, 2019, our principal sources of liquidity were cash and cash equivalents and short-term and long-term marketable securities of approximately $400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years ended September 30, 2019, 2018, and 2017:</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29,220</w:t>
            </w:r>
          </w:p>
        </w:tc>
        <w:tc>
          <w:tcPr>
            <w:tcW w:w="2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(86,664)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(35,402)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(4,572)</w:t>
            </w: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$71.4 million for the year ended September 30, 2019 as compared to $29.2 million for the same period in 2018. The increase in cash provided by operating activities was primarily driven by an increase in royalty payments received under our collaboration with AbbVie as well as a decrease in cash taxes paid, partially offset by increased research and development costs incurred year-over-year.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$29.2 million for the year ended September 30, 2018 as compared to $52.7 million for the same period in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cash provided by operating activities was primarily driven by increased research and development costs and an increase in cash taxes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 an increase in royalty payments received under our collaboration with AbbVie.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of $51.3 million in cash used in investing activities for the year ended September 30, 2019 as compared to the same period in 2018 was driven by timing of purchases, sales and maturities of marketable securities.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70" w:name="page71"/>
    <w:bookmarkEnd w:id="70"/>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of $30.8 million in cash used in investing activities for the year ended September 30, 2018 as compared to the same period in 2017 was driven by timing of purchases, sales and maturities of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decrease in cash provided by financing activities of $1.8 million for the year ended September 30, 2019 as compared to the same period in 2018 was driven by an increase in tax withholding payments for the vesting of performance-based stock unit awards in 2019.</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financing activities of $3.4 million for the year ended September 30, 2018 as compared to the same period in 2017 was driven by an increase in proceeds from stock option exercises as a result of the increase in the price of our common stock year over year and was partially offset by an increase in tax withholding payments for the vesting of performance-based stock unit awards in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2019, we had approximately $400 million in cash, cash equivalents and short-term and long-term marketable securities. We believe that our existing cash, cash equivalents and marketable securities as of September 30, 2019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generated from our existing collaboration with AbbVie;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200" w:right="680" w:hanging="598"/>
        <w:spacing w:after="0" w:line="282"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any of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cost of manufacturing our product candidates for clinical development and any products we successfully commercialize independently</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opportunities to in-license or otherwise acquire new technologies, therapeutic candidates and therapies</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timing of, </w:t>
      </w:r>
      <w:r>
        <w:rPr>
          <w:rFonts w:ascii="Times New Roman" w:cs="Times New Roman" w:eastAsia="Times New Roman" w:hAnsi="Times New Roman"/>
          <w:sz w:val="18"/>
          <w:szCs w:val="18"/>
          <w:color w:val="212529"/>
        </w:rPr>
        <w:t>and the costs involved in, obtaining regulatory approvals for any product candidates we develop independently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0" w:right="360" w:hanging="598"/>
        <w:spacing w:after="0" w:line="282"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cost of commercialization activities, if any, of any product candidates we develop independently that are approved for sale, including marketing, sales and distribution costs</w:t>
      </w:r>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timing and amount of any sales of our product candidates, if any, or royalties thereon</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our ability to establish new collaborations, licensing or other arrangements, if any, and the financial terms of such arrangements</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auto"/>
        </w:rPr>
      </w:pPr>
    </w:p>
    <w:p>
      <w:pPr>
        <w:ind w:left="1200" w:right="480" w:hanging="598"/>
        <w:spacing w:after="0" w:line="282" w:lineRule="auto"/>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costs involved in preparing, filing, prosecuting, maintaining, defending and enforcing patents, including any litigation costs and the outcomes of any such litigation</w:t>
      </w:r>
      <w:r>
        <w:rPr>
          <w:rFonts w:ascii="Times New Roman" w:cs="Times New Roman" w:eastAsia="Times New Roman" w:hAnsi="Times New Roman"/>
          <w:sz w:val="18"/>
          <w:szCs w:val="18"/>
          <w:color w:val="000000"/>
        </w:rPr>
        <w:t>;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or results of operations in the last three fiscal years. If our costs were to become subject to significant inflationary pressures, we could not offset such higher costs through revenue increases because our revenues are substantially outside of our control. Our inability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space in Watertown, Massachusetts under two separate lease agreements.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first lease, located at 500 Arsenal Street, commenced on October 1, 2011 and was amended in 2015 to expand the rented space and extend the lease term through September 2022. This lease is for office and laboratory space. In conjunction with the amendment of the lease, the Company entered into a capital lease agreement to fund certain leasehold improvements and the purchase of lab equipment.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lease, located at 400 Talcott Avenue, commenced on September 24, 2018 for office space and extends through August 1, 2024.</w:t>
      </w:r>
    </w:p>
    <w:p>
      <w:pPr>
        <w:spacing w:after="0" w:line="11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September 30, 2019 and the effect such obligations are expected to have on our liquidity and cash flow in future periods: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2021-2022</w:t>
            </w: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37"/>
              <w:spacing w:after="0" w:line="155" w:lineRule="exact"/>
              <w:rPr>
                <w:sz w:val="20"/>
                <w:szCs w:val="20"/>
                <w:color w:val="auto"/>
              </w:rPr>
            </w:pPr>
            <w:r>
              <w:rPr>
                <w:rFonts w:ascii="Times New Roman" w:cs="Times New Roman" w:eastAsia="Times New Roman" w:hAnsi="Times New Roman"/>
                <w:sz w:val="14"/>
                <w:szCs w:val="14"/>
                <w:b w:val="1"/>
                <w:bCs w:val="1"/>
                <w:color w:val="auto"/>
              </w:rPr>
              <w:t>2023-2024</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2025 and later</w:t>
            </w:r>
          </w:p>
        </w:tc>
        <w:tc>
          <w:tcPr>
            <w:tcW w:w="2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contractual commitments and obligations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we had 1.9 million outstanding shares of Series 1 nonconvertible preferred stock, all of which we classified as long-term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consolidated balance sheet and recorded at fair value of $1.6 million. The fair value of the preferred stock was measured based on significant inputs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observable in the market, which represented a Level 3 measurement within the fair value hierarchy. The fair value of these instruments represents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10% of liabilities measured at fair value as of September 30, 2019. The Series 1 nonconvertible preferred stock issued would require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in the event of a qualifying merger or sale of the company. The table above does not include this liability because we are unable to estimate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this required payment, or if it will be required at all.</w:t>
      </w:r>
    </w:p>
    <w:p>
      <w:pPr>
        <w:spacing w:after="0" w:line="31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short-term and long-term marketable securities of approximately $400 million at September 30, 2019, which consisted of cash, money market funds, agency securities, commercial paper, treasury notes and corporate bonds. Interest income is sensitive to changes in the general level of interest rates; however, due to the nature of these investments, a change in market interest rates of 1% would not be expected to have a material impact on our financial condition or results of operations. Other than our capital lease obligation, we had no debt outstanding as of September 30,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fiscal 2019,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72" w:name="page73"/>
    <w:bookmarkEnd w:id="7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CONSOLIDATED FINANCIAL STATEMENTS AND SUPPLEMENTARY DATA</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our independent registered public accounting firm, appear on pages F-1 through F-32 of this Annual Report on Form 10-K.</w:t>
      </w:r>
    </w:p>
    <w:p>
      <w:pPr>
        <w:spacing w:after="0" w:line="26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right="50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Controls and Procedures</w:t>
      </w:r>
    </w:p>
    <w:p>
      <w:pPr>
        <w:ind w:right="8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Companies are designed to do, and management necessarily was required to apply its judgment in evaluating the risk related to controls and procedures.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10-K, as of September 30, 2019,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management concluded that our disclosure controls and procedures were effective at a reasonable assurance level as of September 30, 2019. These conclusions were communicated to the Audit Committee.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2019 that have materially affected, or are reasonably likely to materially affect, our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Our management has assessed the effectiveness of our internal control over financial reporting as of September 30, 2019. In making this assessment, management used the criteria set forth by the Committee of Sponsoring Organizations of the Treadway Commission (COSO) in its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Based on this assessment, our management has concluded that as of September 30, 2019 our internal control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effective.</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September 30, 2019, has been audited by PricewaterhouseCoopers LLP, an independent registered public accounting firm, as stated in their report which appears in Item 8 above.</w:t>
      </w:r>
    </w:p>
    <w:p>
      <w:pPr>
        <w:spacing w:after="0" w:line="26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Portions of the response to this item are incorporated herein by reference from the discussion responsive thereto under the captions “Proposal 1 - Election of Directors—Nominees for Director and Current Directors”, “Section 16(a) Beneficial Ownership Reporting Compliance”, “Executive Officers” and “Corporate Governance—Board and Committee Matters” in the Company’s Definitive Proxy Statement relating to the 2020 Annual Meeting of Stockholders, also referred to as the 2020 Proxy Statement, which will be filed within 120 days after September 30, 2019.</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employees, officers and directors.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w:t>
      </w:r>
    </w:p>
    <w:p>
      <w:pPr>
        <w:spacing w:after="0" w:line="28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under the following captions in the 2020 Proxy Statement, which will be filed within 120 days after September 30, 2019: “Executive Compensation” and “Corporate Governance—Certain Relationships and Related Transactions.”</w:t>
      </w:r>
    </w:p>
    <w:p>
      <w:pPr>
        <w:spacing w:after="0" w:line="280" w:lineRule="exact"/>
        <w:rPr>
          <w:sz w:val="20"/>
          <w:szCs w:val="20"/>
          <w:color w:val="auto"/>
        </w:rPr>
      </w:pPr>
    </w:p>
    <w:p>
      <w:pPr>
        <w:ind w:left="1360" w:right="180" w:hanging="1350"/>
        <w:spacing w:after="0" w:line="286"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in part from the discussion responsive thereto under the caption “Beneficial Ownership of Common Stock” in the 2020 Proxy Statement, which will be filed within 120 days after September 30, 2019.</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the Company’s equity compensation plans as of September 30, 2019:</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2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18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3"/>
        </w:trPr>
        <w:tc>
          <w:tcPr>
            <w:tcW w:w="4960" w:type="dxa"/>
            <w:vAlign w:val="bottom"/>
            <w:gridSpan w:val="3"/>
            <w:vMerge w:val="continue"/>
          </w:tcPr>
          <w:p>
            <w:pPr>
              <w:spacing w:after="0"/>
              <w:rPr>
                <w:sz w:val="15"/>
                <w:szCs w:val="15"/>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5"/>
                <w:szCs w:val="15"/>
                <w:color w:val="auto"/>
              </w:rPr>
            </w:pPr>
          </w:p>
        </w:tc>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56"/>
        </w:trPr>
        <w:tc>
          <w:tcPr>
            <w:tcW w:w="142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164"/>
              <w:spacing w:after="0" w:line="155" w:lineRule="exact"/>
              <w:rPr>
                <w:sz w:val="20"/>
                <w:szCs w:val="20"/>
                <w:color w:val="auto"/>
              </w:rPr>
            </w:pPr>
            <w:r>
              <w:rPr>
                <w:rFonts w:ascii="Times New Roman" w:cs="Times New Roman" w:eastAsia="Times New Roman" w:hAnsi="Times New Roman"/>
                <w:sz w:val="14"/>
                <w:szCs w:val="14"/>
                <w:b w:val="1"/>
                <w:bCs w:val="1"/>
                <w:color w:val="auto"/>
              </w:rPr>
              <w:t>(b)</w:t>
            </w:r>
          </w:p>
        </w:tc>
        <w:tc>
          <w:tcPr>
            <w:tcW w:w="360" w:type="dxa"/>
            <w:vAlign w:val="bottom"/>
          </w:tcPr>
          <w:p>
            <w:pPr>
              <w:spacing w:after="0"/>
              <w:rPr>
                <w:sz w:val="13"/>
                <w:szCs w:val="13"/>
                <w:color w:val="auto"/>
              </w:rPr>
            </w:pPr>
          </w:p>
        </w:tc>
        <w:tc>
          <w:tcPr>
            <w:tcW w:w="19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15"/>
                <w:szCs w:val="15"/>
                <w:color w:val="auto"/>
              </w:rPr>
              <w:t>(1)</w:t>
            </w:r>
          </w:p>
        </w:tc>
        <w:tc>
          <w:tcPr>
            <w:tcW w:w="2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3,144  </w:t>
            </w:r>
            <w:r>
              <w:rPr>
                <w:rFonts w:ascii="Times New Roman" w:cs="Times New Roman" w:eastAsia="Times New Roman" w:hAnsi="Times New Roman"/>
                <w:sz w:val="15"/>
                <w:szCs w:val="15"/>
                <w:color w:val="auto"/>
              </w:rPr>
              <w:t>(2)</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36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2,065  </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3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42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0" w:right="520" w:hanging="592"/>
        <w:spacing w:after="0" w:line="282" w:lineRule="auto"/>
        <w:tabs>
          <w:tab w:leader="none" w:pos="6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the Company’s 2019 Equity Incentive Plan, the Company’s 2012 Equity Incentive Plan, as amended, the Company’s Amended and Restated 1995 Equity Incentive Plan, as amended, and the Company’s Employee Stock Purchase Plan.</w:t>
      </w:r>
    </w:p>
    <w:p>
      <w:pPr>
        <w:spacing w:after="0" w:line="53" w:lineRule="exact"/>
        <w:rPr>
          <w:rFonts w:ascii="Times New Roman" w:cs="Times New Roman" w:eastAsia="Times New Roman" w:hAnsi="Times New Roman"/>
          <w:sz w:val="15"/>
          <w:szCs w:val="15"/>
          <w:color w:val="auto"/>
        </w:rPr>
      </w:pPr>
    </w:p>
    <w:p>
      <w:pPr>
        <w:ind w:left="600" w:right="40" w:hanging="592"/>
        <w:spacing w:after="0" w:line="313" w:lineRule="auto"/>
        <w:tabs>
          <w:tab w:leader="none" w:pos="6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shares of the Company’s common stock issuable upon exercise of outstanding options issued under the Company’s 2019 Equity Incentive Plan, the Company’s Amended and Restated 2012 Equity Incentive Plan and the Company’s Amended and Restated 1995 Equity Incentive Plan.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4" w:name="page75"/>
    <w:bookmarkEnd w:id="74"/>
    <w:p>
      <w:pPr>
        <w:ind w:left="600" w:right="20" w:hanging="592"/>
        <w:spacing w:after="0" w:line="282" w:lineRule="auto"/>
        <w:tabs>
          <w:tab w:leader="none" w:pos="6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shares of the Company’s common stock reserved for future issuance under the Company’s 2019 Equity Incentive Plan and the Company’s Employee Stock Purchase Plan.</w:t>
      </w:r>
    </w:p>
    <w:p>
      <w:pPr>
        <w:spacing w:after="0" w:line="26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under the caption “Corporate Governance—Certain Relationships and Related Transactions” and “Corporate Governance—Board and Committee Matters” in the 2020 Proxy Statement, which will be filed within 120 days after September 30, 2019.</w:t>
      </w:r>
    </w:p>
    <w:p>
      <w:pPr>
        <w:spacing w:after="0" w:line="28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herein by reference from the discussion responsive thereto under the captions “Corporate Governance—Board and Committee Matters” and “Audit Committee Report—Audit Fees” in the 2020 Proxy Statement, which will be filed within 120 days after September 30, 2019.</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included under Part II, Item 8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STATEMENTS SCHEDULE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consolidated financial statements and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exhibits are listed below under Part IV, Item 15(b)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4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4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40" w:type="dxa"/>
            <w:vAlign w:val="bottom"/>
            <w:gridSpan w:val="11"/>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8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640" w:type="dxa"/>
            <w:vAlign w:val="bottom"/>
            <w:tcBorders>
              <w:top w:val="single" w:sz="8" w:color="auto"/>
              <w:bottom w:val="single" w:sz="8" w:color="0000EE"/>
            </w:tcBorders>
            <w:gridSpan w:val="11"/>
          </w:tcPr>
          <w:p>
            <w:pPr>
              <w:spacing w:after="0" w:line="170"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Restated Certificate of Incorporation of Enanta Pharmaceuticals,</w:t>
              </w:r>
            </w:hyperlink>
          </w:p>
        </w:tc>
        <w:tc>
          <w:tcPr>
            <w:tcW w:w="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8-K</w:t>
            </w:r>
          </w:p>
        </w:tc>
        <w:tc>
          <w:tcPr>
            <w:tcW w:w="60" w:type="dxa"/>
            <w:vAlign w:val="bottom"/>
          </w:tcPr>
          <w:p>
            <w:pPr>
              <w:spacing w:after="0"/>
              <w:rPr>
                <w:sz w:val="14"/>
                <w:szCs w:val="14"/>
                <w:color w:val="auto"/>
              </w:rPr>
            </w:pPr>
          </w:p>
        </w:tc>
        <w:tc>
          <w:tcPr>
            <w:tcW w:w="12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03/28/2013</w:t>
            </w:r>
          </w:p>
        </w:tc>
        <w:tc>
          <w:tcPr>
            <w:tcW w:w="60" w:type="dxa"/>
            <w:vAlign w:val="bottom"/>
          </w:tcPr>
          <w:p>
            <w:pPr>
              <w:spacing w:after="0"/>
              <w:rPr>
                <w:sz w:val="14"/>
                <w:szCs w:val="14"/>
                <w:color w:val="auto"/>
              </w:rPr>
            </w:pPr>
          </w:p>
        </w:tc>
        <w:tc>
          <w:tcPr>
            <w:tcW w:w="98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98">
              <w:r>
                <w:rPr>
                  <w:rFonts w:ascii="Times New Roman" w:cs="Times New Roman" w:eastAsia="Times New Roman" w:hAnsi="Times New Roman"/>
                  <w:sz w:val="18"/>
                  <w:szCs w:val="18"/>
                  <w:color w:val="0000EE"/>
                  <w:w w:val="94"/>
                </w:rPr>
                <w:t>Inc.</w:t>
              </w:r>
            </w:hyperlink>
          </w:p>
        </w:tc>
        <w:tc>
          <w:tcPr>
            <w:tcW w:w="4520" w:type="dxa"/>
            <w:vAlign w:val="bottom"/>
            <w:gridSpan w:val="12"/>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7"/>
                <w:szCs w:val="17"/>
                <w:color w:val="auto"/>
              </w:rPr>
            </w:pPr>
          </w:p>
        </w:tc>
        <w:tc>
          <w:tcPr>
            <w:tcW w:w="4800" w:type="dxa"/>
            <w:vAlign w:val="bottom"/>
            <w:gridSpan w:val="1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Amended and Restated Bylaws of Enanta Pharmaceuticals, Inc.</w:t>
              </w:r>
            </w:hyperlink>
          </w:p>
        </w:tc>
        <w:tc>
          <w:tcPr>
            <w:tcW w:w="11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08/18/2015</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(as amended and restated in August 2015).</w:t>
              </w:r>
            </w:hyperlink>
          </w:p>
        </w:tc>
        <w:tc>
          <w:tcPr>
            <w:tcW w:w="1500" w:type="dxa"/>
            <w:vAlign w:val="bottom"/>
            <w:tcBorders>
              <w:top w:val="single" w:sz="8" w:color="0000EE"/>
            </w:tcBorders>
            <w:gridSpan w:val="6"/>
          </w:tcPr>
          <w:p>
            <w:pPr>
              <w:spacing w:after="0"/>
              <w:rPr>
                <w:sz w:val="17"/>
                <w:szCs w:val="17"/>
                <w:color w:val="auto"/>
              </w:rPr>
            </w:pPr>
          </w:p>
        </w:tc>
        <w:tc>
          <w:tcPr>
            <w:tcW w:w="2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7"/>
                <w:szCs w:val="17"/>
                <w:color w:val="auto"/>
              </w:rPr>
            </w:pPr>
          </w:p>
        </w:tc>
        <w:tc>
          <w:tcPr>
            <w:tcW w:w="4800" w:type="dxa"/>
            <w:vAlign w:val="bottom"/>
            <w:gridSpan w:val="14"/>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Specimen certificate evidencing shares of common stock.</w:t>
              </w:r>
            </w:hyperlink>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02/05/2013</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333-184779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Specimen certificate evidencing shares of Series 1 Non-</w:t>
              </w:r>
            </w:hyperlink>
          </w:p>
        </w:tc>
        <w:tc>
          <w:tcPr>
            <w:tcW w:w="100" w:type="dxa"/>
            <w:vAlign w:val="bottom"/>
            <w:tcBorders>
              <w:top w:val="single" w:sz="8" w:color="0000EE"/>
            </w:tcBorders>
          </w:tcPr>
          <w:p>
            <w:pPr>
              <w:spacing w:after="0"/>
              <w:rPr>
                <w:sz w:val="17"/>
                <w:szCs w:val="17"/>
                <w:color w:val="auto"/>
              </w:rPr>
            </w:pPr>
          </w:p>
        </w:tc>
        <w:tc>
          <w:tcPr>
            <w:tcW w:w="660" w:type="dxa"/>
            <w:vAlign w:val="bottom"/>
            <w:gridSpan w:val="7"/>
          </w:tcPr>
          <w:p>
            <w:pPr>
              <w:spacing w:after="0"/>
              <w:rPr>
                <w:sz w:val="17"/>
                <w:szCs w:val="17"/>
                <w:color w:val="auto"/>
              </w:rPr>
            </w:pPr>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12/11/2017</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Convertible Preferred Stock</w:t>
              </w:r>
            </w:hyperlink>
          </w:p>
        </w:tc>
        <w:tc>
          <w:tcPr>
            <w:tcW w:w="2780" w:type="dxa"/>
            <w:vAlign w:val="bottom"/>
            <w:gridSpan w:val="10"/>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7"/>
                <w:szCs w:val="17"/>
                <w:color w:val="auto"/>
              </w:rPr>
            </w:pPr>
          </w:p>
        </w:tc>
        <w:tc>
          <w:tcPr>
            <w:tcW w:w="4800" w:type="dxa"/>
            <w:vAlign w:val="bottom"/>
            <w:gridSpan w:val="14"/>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 xml:space="preserve">Description of securities </w:t>
              </w:r>
            </w:hyperlink>
            <w:r>
              <w:rPr>
                <w:rFonts w:ascii="Times New Roman" w:cs="Times New Roman" w:eastAsia="Times New Roman" w:hAnsi="Times New Roman"/>
                <w:sz w:val="18"/>
                <w:szCs w:val="18"/>
                <w:color w:val="000000"/>
              </w:rPr>
              <w:t>registered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 of the</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Securities Exchange Act of 1934</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6"/>
                <w:szCs w:val="16"/>
                <w:color w:val="auto"/>
              </w:rPr>
            </w:pPr>
          </w:p>
        </w:tc>
        <w:tc>
          <w:tcPr>
            <w:tcW w:w="450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Indemnification Agreement for directors and officers.</w:t>
              </w:r>
            </w:hyperlink>
          </w:p>
        </w:tc>
        <w:tc>
          <w:tcPr>
            <w:tcW w:w="300" w:type="dxa"/>
            <w:vAlign w:val="bottom"/>
            <w:gridSpan w:val="4"/>
          </w:tcPr>
          <w:p>
            <w:pPr>
              <w:spacing w:after="0"/>
              <w:rPr>
                <w:sz w:val="16"/>
                <w:szCs w:val="16"/>
                <w:color w:val="auto"/>
              </w:rPr>
            </w:pPr>
          </w:p>
        </w:tc>
        <w:tc>
          <w:tcPr>
            <w:tcW w:w="1160" w:type="dxa"/>
            <w:vAlign w:val="bottom"/>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02/05/2013</w:t>
            </w:r>
          </w:p>
        </w:tc>
        <w:tc>
          <w:tcPr>
            <w:tcW w:w="6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10.7</w:t>
            </w:r>
          </w:p>
        </w:tc>
        <w:tc>
          <w:tcPr>
            <w:tcW w:w="60" w:type="dxa"/>
            <w:vAlign w:val="bottom"/>
          </w:tcPr>
          <w:p>
            <w:pPr>
              <w:spacing w:after="0"/>
              <w:rPr>
                <w:sz w:val="16"/>
                <w:szCs w:val="16"/>
                <w:color w:val="auto"/>
              </w:rPr>
            </w:pPr>
          </w:p>
        </w:tc>
        <w:tc>
          <w:tcPr>
            <w:tcW w:w="14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333-184779</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Amended and Restated Employment Agreement between the</w:t>
              </w:r>
            </w:hyperlink>
          </w:p>
        </w:tc>
        <w:tc>
          <w:tcPr>
            <w:tcW w:w="400" w:type="dxa"/>
            <w:vAlign w:val="bottom"/>
            <w:gridSpan w:val="5"/>
          </w:tcPr>
          <w:p>
            <w:pPr>
              <w:spacing w:after="0"/>
              <w:rPr>
                <w:sz w:val="17"/>
                <w:szCs w:val="17"/>
                <w:color w:val="auto"/>
              </w:rPr>
            </w:pPr>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03/05/2013</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333-184779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14"/>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Company and Jay R. Luly, Ph.D., dated as of March 4, 2013.</w:t>
              </w:r>
            </w:hyperlink>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3"/>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Borders>
              <w:bottom w:val="single" w:sz="8" w:color="auto"/>
            </w:tcBorders>
          </w:tcPr>
          <w:p>
            <w:pPr>
              <w:spacing w:after="0"/>
              <w:rPr>
                <w:sz w:val="15"/>
                <w:szCs w:val="15"/>
                <w:color w:val="auto"/>
              </w:rPr>
            </w:pPr>
          </w:p>
        </w:tc>
        <w:tc>
          <w:tcPr>
            <w:tcW w:w="78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1540" w:type="dxa"/>
            <w:vAlign w:val="bottom"/>
            <w:vMerge w:val="continue"/>
          </w:tcPr>
          <w:p>
            <w:pPr>
              <w:spacing w:after="0"/>
              <w:rPr>
                <w:sz w:val="10"/>
                <w:szCs w:val="10"/>
                <w:color w:val="auto"/>
              </w:rPr>
            </w:pPr>
          </w:p>
        </w:tc>
        <w:tc>
          <w:tcPr>
            <w:tcW w:w="404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vMerge w:val="continue"/>
          </w:tcPr>
          <w:p>
            <w:pPr>
              <w:spacing w:after="0"/>
              <w:rPr>
                <w:sz w:val="16"/>
                <w:szCs w:val="16"/>
                <w:color w:val="auto"/>
              </w:rPr>
            </w:pPr>
          </w:p>
        </w:tc>
        <w:tc>
          <w:tcPr>
            <w:tcW w:w="7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31" w:right="379" w:bottom="1440" w:gutter="0" w:footer="0" w:header="0"/>
        </w:sectPr>
      </w:pPr>
    </w:p>
    <w:p>
      <w:pPr>
        <w:ind w:left="780" w:right="340" w:hanging="769"/>
        <w:spacing w:after="0" w:line="245"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07">
        <w:r>
          <w:rPr>
            <w:rFonts w:ascii="Times New Roman" w:cs="Times New Roman" w:eastAsia="Times New Roman" w:hAnsi="Times New Roman"/>
            <w:sz w:val="18"/>
            <w:szCs w:val="18"/>
            <w:u w:val="single" w:color="auto"/>
            <w:color w:val="0000EE"/>
          </w:rPr>
          <w:t>Form of Amended and Restated Employment Agreement for</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Executive Officers other than t</w:t>
        </w:r>
        <w:r>
          <w:rPr>
            <w:rFonts w:ascii="Times New Roman" w:cs="Times New Roman" w:eastAsia="Times New Roman" w:hAnsi="Times New Roman"/>
            <w:sz w:val="21"/>
            <w:szCs w:val="21"/>
            <w:u w:val="single" w:color="auto"/>
            <w:color w:val="0000EE"/>
          </w:rPr>
          <w:t>he</w:t>
        </w:r>
        <w:r>
          <w:rPr>
            <w:rFonts w:ascii="Times New Roman" w:cs="Times New Roman" w:eastAsia="Times New Roman" w:hAnsi="Times New Roman"/>
            <w:sz w:val="18"/>
            <w:szCs w:val="18"/>
            <w:u w:val="single" w:color="auto"/>
            <w:color w:val="0000EE"/>
          </w:rPr>
          <w:t xml:space="preserve"> Chief Executive Officer.</w:t>
        </w:r>
      </w:hyperlink>
    </w:p>
    <w:p>
      <w:pPr>
        <w:spacing w:after="0" w:line="1" w:lineRule="exact"/>
        <w:rPr>
          <w:sz w:val="20"/>
          <w:szCs w:val="20"/>
          <w:color w:val="auto"/>
        </w:rPr>
      </w:pPr>
    </w:p>
    <w:p>
      <w:pPr>
        <w:ind w:left="78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8">
        <w:r>
          <w:rPr>
            <w:rFonts w:ascii="Times New Roman" w:cs="Times New Roman" w:eastAsia="Times New Roman" w:hAnsi="Times New Roman"/>
            <w:sz w:val="18"/>
            <w:szCs w:val="18"/>
            <w:u w:val="single" w:color="auto"/>
            <w:color w:val="0000EE"/>
          </w:rPr>
          <w:t>Collaborative Development and License Agreement between the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Company and Abbott Laboratories, dated November 27, 2006; as</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amended by a First Amendment to Collaborative Development and</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License Agreement dated January 27, 2009 and a Second</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Amendment to Collaborative Development and License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Agreement dated December 9, 2009 (assigned to AbbVie Inc. as of</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January 1, 2013).</w:t>
        </w:r>
      </w:hyperlink>
    </w:p>
    <w:p>
      <w:pPr>
        <w:spacing w:after="0" w:line="2" w:lineRule="exact"/>
        <w:rPr>
          <w:rFonts w:ascii="Times New Roman" w:cs="Times New Roman" w:eastAsia="Times New Roman" w:hAnsi="Times New Roman"/>
          <w:sz w:val="18"/>
          <w:szCs w:val="18"/>
          <w:u w:val="single" w:color="auto"/>
          <w:color w:val="0000EE"/>
        </w:rPr>
      </w:pPr>
    </w:p>
    <w:p>
      <w:pPr>
        <w:ind w:left="780" w:right="24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9">
        <w:r>
          <w:rPr>
            <w:rFonts w:ascii="Times New Roman" w:cs="Times New Roman" w:eastAsia="Times New Roman" w:hAnsi="Times New Roman"/>
            <w:sz w:val="18"/>
            <w:szCs w:val="18"/>
            <w:u w:val="single" w:color="auto"/>
            <w:color w:val="0000EE"/>
          </w:rPr>
          <w:t>Third Amendment to Collaborative Development and License</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Agreement between the Company and AbbVie dated October 20,</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2014.</w:t>
        </w:r>
      </w:hyperlink>
    </w:p>
    <w:p>
      <w:pPr>
        <w:spacing w:after="0" w:line="1" w:lineRule="exact"/>
        <w:rPr>
          <w:rFonts w:ascii="Times New Roman" w:cs="Times New Roman" w:eastAsia="Times New Roman" w:hAnsi="Times New Roman"/>
          <w:sz w:val="18"/>
          <w:szCs w:val="18"/>
          <w:u w:val="single" w:color="auto"/>
          <w:color w:val="0000EE"/>
        </w:rPr>
      </w:pPr>
    </w:p>
    <w:p>
      <w:pPr>
        <w:ind w:left="780" w:right="6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10">
        <w:r>
          <w:rPr>
            <w:rFonts w:ascii="Times New Roman" w:cs="Times New Roman" w:eastAsia="Times New Roman" w:hAnsi="Times New Roman"/>
            <w:sz w:val="18"/>
            <w:szCs w:val="18"/>
            <w:u w:val="single" w:color="auto"/>
            <w:color w:val="0000EE"/>
          </w:rPr>
          <w:t>Fourth Amendment to Collaborative Development and License</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Agreement between the Company and AbbVie dated as of March 3,</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2015.</w:t>
        </w:r>
      </w:hyperlink>
    </w:p>
    <w:p>
      <w:pPr>
        <w:spacing w:after="0" w:line="1" w:lineRule="exact"/>
        <w:rPr>
          <w:rFonts w:ascii="Times New Roman" w:cs="Times New Roman" w:eastAsia="Times New Roman" w:hAnsi="Times New Roman"/>
          <w:sz w:val="18"/>
          <w:szCs w:val="18"/>
          <w:u w:val="single" w:color="auto"/>
          <w:color w:val="0000EE"/>
        </w:rPr>
      </w:pPr>
    </w:p>
    <w:p>
      <w:pPr>
        <w:ind w:left="780" w:right="42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11">
        <w:r>
          <w:rPr>
            <w:rFonts w:ascii="Times New Roman" w:cs="Times New Roman" w:eastAsia="Times New Roman" w:hAnsi="Times New Roman"/>
            <w:sz w:val="18"/>
            <w:szCs w:val="18"/>
            <w:u w:val="single" w:color="auto"/>
            <w:color w:val="0000EE"/>
          </w:rPr>
          <w:t>Lease Agreement between Company and ARE-500 Arsenal</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Street LLC, dated as of April 15, 2011.</w:t>
        </w:r>
      </w:hyperlink>
    </w:p>
    <w:p>
      <w:pPr>
        <w:spacing w:after="0" w:line="1" w:lineRule="exact"/>
        <w:rPr>
          <w:sz w:val="20"/>
          <w:szCs w:val="20"/>
          <w:color w:val="auto"/>
        </w:rPr>
      </w:pPr>
    </w:p>
    <w:p>
      <w:pPr>
        <w:ind w:left="780" w:right="4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12">
        <w:r>
          <w:rPr>
            <w:rFonts w:ascii="Times New Roman" w:cs="Times New Roman" w:eastAsia="Times New Roman" w:hAnsi="Times New Roman"/>
            <w:sz w:val="18"/>
            <w:szCs w:val="18"/>
            <w:u w:val="single" w:color="auto"/>
            <w:color w:val="0000EE"/>
          </w:rPr>
          <w:t>First Amendment to Lease Agreement made as of March 5, 2015</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between the Company and ARE-500 Arsenal Street LLC.</w:t>
        </w:r>
      </w:hyperlink>
    </w:p>
    <w:p>
      <w:pPr>
        <w:spacing w:after="0" w:line="1" w:lineRule="exact"/>
        <w:rPr>
          <w:sz w:val="20"/>
          <w:szCs w:val="20"/>
          <w:color w:val="auto"/>
        </w:rPr>
      </w:pPr>
    </w:p>
    <w:p>
      <w:pPr>
        <w:ind w:left="780" w:right="28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13">
        <w:r>
          <w:rPr>
            <w:rFonts w:ascii="Times New Roman" w:cs="Times New Roman" w:eastAsia="Times New Roman" w:hAnsi="Times New Roman"/>
            <w:sz w:val="18"/>
            <w:szCs w:val="18"/>
            <w:u w:val="single" w:color="auto"/>
            <w:color w:val="0000EE"/>
          </w:rPr>
          <w:t>Third Amended and Restated Registration Rights Agreement,</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dated as of August 23, 2012.</w:t>
        </w:r>
      </w:hyperlink>
    </w:p>
    <w:p>
      <w:pPr>
        <w:spacing w:after="0" w:line="1" w:lineRule="exact"/>
        <w:rPr>
          <w:sz w:val="20"/>
          <w:szCs w:val="20"/>
          <w:color w:val="auto"/>
        </w:rPr>
      </w:pPr>
    </w:p>
    <w:p>
      <w:pPr>
        <w:ind w:left="780" w:right="12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4">
        <w:r>
          <w:rPr>
            <w:rFonts w:ascii="Times New Roman" w:cs="Times New Roman" w:eastAsia="Times New Roman" w:hAnsi="Times New Roman"/>
            <w:sz w:val="18"/>
            <w:szCs w:val="18"/>
            <w:u w:val="single" w:color="auto"/>
            <w:color w:val="0000EE"/>
          </w:rPr>
          <w:t>Lease Agreement between Company and Athena Arsenal, LLC,</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dated as of September 27, 2018.</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5">
        <w:r>
          <w:rPr>
            <w:rFonts w:ascii="Times New Roman" w:cs="Times New Roman" w:eastAsia="Times New Roman" w:hAnsi="Times New Roman"/>
            <w:sz w:val="17"/>
            <w:szCs w:val="17"/>
            <w:u w:val="single" w:color="auto"/>
            <w:color w:val="0000EE"/>
          </w:rPr>
          <w:t>Amended and Restated 1995 Equity Incentive Plan.</w:t>
        </w:r>
      </w:hyperlink>
    </w:p>
    <w:p>
      <w:pPr>
        <w:spacing w:after="0" w:line="9" w:lineRule="exact"/>
        <w:rPr>
          <w:sz w:val="20"/>
          <w:szCs w:val="20"/>
          <w:color w:val="auto"/>
        </w:rPr>
      </w:pPr>
    </w:p>
    <w:p>
      <w:pPr>
        <w:ind w:left="780" w:right="12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6">
        <w:r>
          <w:rPr>
            <w:rFonts w:ascii="Times New Roman" w:cs="Times New Roman" w:eastAsia="Times New Roman" w:hAnsi="Times New Roman"/>
            <w:sz w:val="18"/>
            <w:szCs w:val="18"/>
            <w:u w:val="single" w:color="auto"/>
            <w:color w:val="0000EE"/>
          </w:rPr>
          <w:t>Form of Incentive Stock Option Certificate under Amended and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Restated 1995 Equity Incentive Plan.</w:t>
        </w:r>
      </w:hyperlink>
    </w:p>
    <w:p>
      <w:pPr>
        <w:spacing w:after="0" w:line="1" w:lineRule="exact"/>
        <w:rPr>
          <w:sz w:val="20"/>
          <w:szCs w:val="20"/>
          <w:color w:val="auto"/>
        </w:rPr>
      </w:pPr>
    </w:p>
    <w:p>
      <w:pPr>
        <w:ind w:left="780" w:right="6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7">
        <w:r>
          <w:rPr>
            <w:rFonts w:ascii="Times New Roman" w:cs="Times New Roman" w:eastAsia="Times New Roman" w:hAnsi="Times New Roman"/>
            <w:sz w:val="18"/>
            <w:szCs w:val="18"/>
            <w:u w:val="single" w:color="auto"/>
            <w:color w:val="0000EE"/>
          </w:rPr>
          <w:t>Form of Non-Statutory Stock Option Certificate under Amended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and Restated 1995 Equity Incentive Plan.</w:t>
        </w:r>
      </w:hyperlink>
    </w:p>
    <w:p>
      <w:pPr>
        <w:spacing w:after="0" w:line="1" w:lineRule="exact"/>
        <w:rPr>
          <w:sz w:val="20"/>
          <w:szCs w:val="20"/>
          <w:color w:val="auto"/>
        </w:rPr>
      </w:pPr>
    </w:p>
    <w:p>
      <w:pPr>
        <w:ind w:left="780" w:right="32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18">
        <w:r>
          <w:rPr>
            <w:rFonts w:ascii="Times New Roman" w:cs="Times New Roman" w:eastAsia="Times New Roman" w:hAnsi="Times New Roman"/>
            <w:sz w:val="18"/>
            <w:szCs w:val="18"/>
            <w:u w:val="single" w:color="auto"/>
            <w:color w:val="0000EE"/>
          </w:rPr>
          <w:t>Form of Non-Statutory Stock Option Certificate for directors</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under Amended and Restated 1995 Equity Incentive Plan.</w:t>
        </w:r>
      </w:hyperlink>
    </w:p>
    <w:p>
      <w:pPr>
        <w:spacing w:after="0" w:line="1" w:lineRule="exact"/>
        <w:rPr>
          <w:sz w:val="20"/>
          <w:szCs w:val="20"/>
          <w:color w:val="auto"/>
        </w:rPr>
      </w:pPr>
    </w:p>
    <w:p>
      <w:pPr>
        <w:ind w:left="78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19">
        <w:r>
          <w:rPr>
            <w:rFonts w:ascii="Times New Roman" w:cs="Times New Roman" w:eastAsia="Times New Roman" w:hAnsi="Times New Roman"/>
            <w:sz w:val="18"/>
            <w:szCs w:val="18"/>
            <w:u w:val="single" w:color="auto"/>
            <w:color w:val="0000EE"/>
          </w:rPr>
          <w:t>2012 Equity Incentive Plan (As adjusted to reflect the application</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of the 1-for-4.31 reverse stock split of the Company’s common</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stock effected on March 1, 2013).</w:t>
        </w:r>
      </w:hyperlink>
    </w:p>
    <w:p>
      <w:pPr>
        <w:spacing w:after="0" w:line="1" w:lineRule="exact"/>
        <w:rPr>
          <w:rFonts w:ascii="Times New Roman" w:cs="Times New Roman" w:eastAsia="Times New Roman" w:hAnsi="Times New Roman"/>
          <w:sz w:val="18"/>
          <w:szCs w:val="18"/>
          <w:u w:val="single" w:color="auto"/>
          <w:color w:val="0000EE"/>
        </w:rPr>
      </w:pPr>
    </w:p>
    <w:p>
      <w:pPr>
        <w:ind w:left="780" w:right="20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20">
        <w:r>
          <w:rPr>
            <w:rFonts w:ascii="Times New Roman" w:cs="Times New Roman" w:eastAsia="Times New Roman" w:hAnsi="Times New Roman"/>
            <w:sz w:val="18"/>
            <w:szCs w:val="18"/>
            <w:u w:val="single" w:color="auto"/>
            <w:color w:val="0000EE"/>
          </w:rPr>
          <w:t>Form of Incentive Stock Option Agreement under 2012 Equity</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Incentive Plan.</w:t>
        </w:r>
      </w:hyperlink>
    </w:p>
    <w:p>
      <w:pPr>
        <w:spacing w:after="0" w:line="1" w:lineRule="exact"/>
        <w:rPr>
          <w:sz w:val="20"/>
          <w:szCs w:val="20"/>
          <w:color w:val="auto"/>
        </w:rPr>
      </w:pPr>
    </w:p>
    <w:p>
      <w:pPr>
        <w:ind w:left="780" w:right="36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21">
        <w:r>
          <w:rPr>
            <w:rFonts w:ascii="Times New Roman" w:cs="Times New Roman" w:eastAsia="Times New Roman" w:hAnsi="Times New Roman"/>
            <w:sz w:val="18"/>
            <w:szCs w:val="18"/>
            <w:u w:val="single" w:color="auto"/>
            <w:color w:val="0000EE"/>
          </w:rPr>
          <w:t>Form of Non-Statutory Stock Option Agreement under 2012</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Equity Incentive Plan.</w:t>
        </w:r>
      </w:hyperlink>
    </w:p>
    <w:p>
      <w:pPr>
        <w:spacing w:after="0" w:line="1" w:lineRule="exact"/>
        <w:rPr>
          <w:sz w:val="20"/>
          <w:szCs w:val="20"/>
          <w:color w:val="auto"/>
        </w:rPr>
      </w:pPr>
    </w:p>
    <w:p>
      <w:pPr>
        <w:ind w:left="780" w:right="32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22">
        <w:r>
          <w:rPr>
            <w:rFonts w:ascii="Times New Roman" w:cs="Times New Roman" w:eastAsia="Times New Roman" w:hAnsi="Times New Roman"/>
            <w:sz w:val="18"/>
            <w:szCs w:val="18"/>
            <w:u w:val="single" w:color="auto"/>
            <w:color w:val="0000EE"/>
          </w:rPr>
          <w:t>Form of Non-Statutory Stock Option Certificate for directors</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under 2012 Equity Incentive Plan.</w:t>
        </w:r>
      </w:hyperlink>
    </w:p>
    <w:p>
      <w:pPr>
        <w:spacing w:after="0" w:line="1" w:lineRule="exact"/>
        <w:rPr>
          <w:sz w:val="20"/>
          <w:szCs w:val="20"/>
          <w:color w:val="auto"/>
        </w:rPr>
      </w:pPr>
    </w:p>
    <w:p>
      <w:pPr>
        <w:ind w:left="780" w:right="160" w:hanging="769"/>
        <w:spacing w:after="0" w:line="250"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23">
        <w:r>
          <w:rPr>
            <w:rFonts w:ascii="Times New Roman" w:cs="Times New Roman" w:eastAsia="Times New Roman" w:hAnsi="Times New Roman"/>
            <w:sz w:val="18"/>
            <w:szCs w:val="18"/>
            <w:u w:val="single" w:color="auto"/>
            <w:color w:val="0000EE"/>
          </w:rPr>
          <w:t>Form of Performance Share Unit Certificate under 2012 Equity</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Incentive Plan.</w:t>
        </w:r>
      </w:hyperlink>
    </w:p>
    <w:p>
      <w:pPr>
        <w:spacing w:after="0" w:line="1"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24">
        <w:r>
          <w:rPr>
            <w:rFonts w:ascii="Times New Roman" w:cs="Times New Roman" w:eastAsia="Times New Roman" w:hAnsi="Times New Roman"/>
            <w:sz w:val="17"/>
            <w:szCs w:val="17"/>
            <w:u w:val="single" w:color="auto"/>
            <w:color w:val="0000EE"/>
          </w:rPr>
          <w:t>Form of Relative Total Stockholder Return Unit Certificate under</w:t>
        </w:r>
      </w:hyperlink>
    </w:p>
    <w:p>
      <w:pPr>
        <w:spacing w:after="0" w:line="9"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2012 Equity Incentive Plan.</w:t>
        </w:r>
      </w:hyperlink>
    </w:p>
    <w:p>
      <w:pPr>
        <w:spacing w:after="0" w:line="20" w:lineRule="exact"/>
        <w:rPr>
          <w:sz w:val="20"/>
          <w:szCs w:val="20"/>
          <w:color w:val="auto"/>
        </w:rPr>
      </w:pPr>
      <w:r>
        <w:rPr>
          <w:sz w:val="20"/>
          <w:szCs w:val="20"/>
          <w:color w:val="auto"/>
        </w:rPr>
        <w:br w:type="column"/>
      </w:r>
    </w:p>
    <w:p>
      <w:pPr>
        <w:ind w:left="300"/>
        <w:spacing w:after="0"/>
        <w:tabs>
          <w:tab w:leader="none" w:pos="1320" w:val="left"/>
          <w:tab w:leader="none" w:pos="2680" w:val="left"/>
          <w:tab w:leader="none" w:pos="3720" w:val="left"/>
        </w:tabs>
        <w:rPr>
          <w:sz w:val="20"/>
          <w:szCs w:val="20"/>
          <w:color w:val="auto"/>
        </w:rPr>
      </w:pPr>
      <w:r>
        <w:rPr>
          <w:rFonts w:ascii="Times New Roman" w:cs="Times New Roman" w:eastAsia="Times New Roman" w:hAnsi="Times New Roman"/>
          <w:sz w:val="18"/>
          <w:szCs w:val="18"/>
          <w:color w:val="auto"/>
        </w:rPr>
        <w:t>S-1/A</w:t>
      </w:r>
      <w:r>
        <w:rPr>
          <w:sz w:val="20"/>
          <w:szCs w:val="20"/>
          <w:color w:val="auto"/>
        </w:rPr>
        <w:tab/>
      </w:r>
      <w:r>
        <w:rPr>
          <w:rFonts w:ascii="Times New Roman" w:cs="Times New Roman" w:eastAsia="Times New Roman" w:hAnsi="Times New Roman"/>
          <w:sz w:val="18"/>
          <w:szCs w:val="18"/>
          <w:color w:val="auto"/>
        </w:rPr>
        <w:t>03/05/2013</w:t>
      </w:r>
      <w:r>
        <w:rPr>
          <w:sz w:val="20"/>
          <w:szCs w:val="20"/>
          <w:color w:val="auto"/>
        </w:rPr>
        <w:tab/>
      </w: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333-184779</w:t>
      </w:r>
    </w:p>
    <w:p>
      <w:pPr>
        <w:spacing w:after="0" w:line="232" w:lineRule="exact"/>
        <w:rPr>
          <w:sz w:val="20"/>
          <w:szCs w:val="20"/>
          <w:color w:val="auto"/>
        </w:rPr>
      </w:pPr>
    </w:p>
    <w:p>
      <w:pPr>
        <w:ind w:left="320"/>
        <w:spacing w:after="0"/>
        <w:tabs>
          <w:tab w:leader="none" w:pos="1320" w:val="left"/>
          <w:tab w:leader="none" w:pos="2740" w:val="left"/>
          <w:tab w:leader="none" w:pos="376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02/09/2016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001-35839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12/11/2014</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48"/>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05/08/2015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48"/>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11/06/2012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05/08/2015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11/06/2012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11/29/2019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414"/>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03/05/2013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234"/>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03/05/2013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03/05/2013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03/05/2013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10-K/A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01/06/2017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648"/>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03/05/2013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03/05/2013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03/05/2013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333-184779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12/11/2017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001-35839</w:t>
            </w:r>
          </w:p>
        </w:tc>
      </w:tr>
      <w:tr>
        <w:trPr>
          <w:trHeight w:val="432"/>
        </w:trPr>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12/11/2017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001-35839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73025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5500" w:space="120"/>
            <w:col w:w="5660"/>
          </w:cols>
          <w:pgMar w:left="240" w:top="331" w:right="37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73"/>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720" w:type="dxa"/>
            <w:vAlign w:val="bottom"/>
            <w:gridSpan w:val="20"/>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4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20" w:type="dxa"/>
            <w:vAlign w:val="bottom"/>
            <w:gridSpan w:val="20"/>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8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auto"/>
            </w:tcBorders>
            <w:gridSpan w:val="20"/>
          </w:tcPr>
          <w:p>
            <w:pPr>
              <w:spacing w:after="0" w:line="170"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Employee Stock Purchase Plan.</w:t>
              </w:r>
            </w:hyperlink>
          </w:p>
        </w:tc>
        <w:tc>
          <w:tcPr>
            <w:tcW w:w="40" w:type="dxa"/>
            <w:vAlign w:val="bottom"/>
          </w:tcPr>
          <w:p>
            <w:pPr>
              <w:spacing w:after="0"/>
              <w:rPr>
                <w:sz w:val="14"/>
                <w:szCs w:val="14"/>
                <w:color w:val="auto"/>
              </w:rPr>
            </w:pPr>
          </w:p>
        </w:tc>
        <w:tc>
          <w:tcPr>
            <w:tcW w:w="11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7"/>
              </w:rPr>
              <w:t>S-1/A</w:t>
            </w:r>
          </w:p>
        </w:tc>
        <w:tc>
          <w:tcPr>
            <w:tcW w:w="60" w:type="dxa"/>
            <w:vAlign w:val="bottom"/>
          </w:tcPr>
          <w:p>
            <w:pPr>
              <w:spacing w:after="0"/>
              <w:rPr>
                <w:sz w:val="14"/>
                <w:szCs w:val="14"/>
                <w:color w:val="auto"/>
              </w:rPr>
            </w:pPr>
          </w:p>
        </w:tc>
        <w:tc>
          <w:tcPr>
            <w:tcW w:w="12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02/05/2013</w:t>
            </w:r>
          </w:p>
        </w:tc>
        <w:tc>
          <w:tcPr>
            <w:tcW w:w="60" w:type="dxa"/>
            <w:vAlign w:val="bottom"/>
          </w:tcPr>
          <w:p>
            <w:pPr>
              <w:spacing w:after="0"/>
              <w:rPr>
                <w:sz w:val="14"/>
                <w:szCs w:val="14"/>
                <w:color w:val="auto"/>
              </w:rPr>
            </w:pPr>
          </w:p>
        </w:tc>
        <w:tc>
          <w:tcPr>
            <w:tcW w:w="98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spacing w:after="0"/>
              <w:rPr>
                <w:sz w:val="14"/>
                <w:szCs w:val="14"/>
                <w:color w:val="auto"/>
              </w:rPr>
            </w:pPr>
          </w:p>
        </w:tc>
        <w:tc>
          <w:tcPr>
            <w:tcW w:w="142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333-184779</w:t>
            </w:r>
          </w:p>
        </w:tc>
        <w:tc>
          <w:tcPr>
            <w:tcW w:w="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60" w:type="dxa"/>
            <w:vAlign w:val="bottom"/>
          </w:tcPr>
          <w:p>
            <w:pPr>
              <w:spacing w:after="0"/>
              <w:rPr>
                <w:sz w:val="17"/>
                <w:szCs w:val="17"/>
                <w:color w:val="auto"/>
              </w:rPr>
            </w:pPr>
          </w:p>
        </w:tc>
        <w:tc>
          <w:tcPr>
            <w:tcW w:w="22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2019 Equity Incentive Plan</w:t>
              </w:r>
            </w:hyperlink>
            <w:r>
              <w:rPr>
                <w:rFonts w:ascii="Times New Roman" w:cs="Times New Roman" w:eastAsia="Times New Roman" w:hAnsi="Times New Roman"/>
                <w:sz w:val="18"/>
                <w:szCs w:val="18"/>
                <w:color w:val="000000"/>
              </w:rPr>
              <w:t>.</w:t>
            </w:r>
          </w:p>
        </w:tc>
        <w:tc>
          <w:tcPr>
            <w:tcW w:w="2520" w:type="dxa"/>
            <w:vAlign w:val="bottom"/>
            <w:gridSpan w:val="15"/>
          </w:tcPr>
          <w:p>
            <w:pPr>
              <w:spacing w:after="0"/>
              <w:rPr>
                <w:sz w:val="17"/>
                <w:szCs w:val="17"/>
                <w:color w:val="auto"/>
              </w:rPr>
            </w:pPr>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8-K/A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03/07/2019</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Notice of Grant of Non-Statutory Stock Option under</w:t>
              </w:r>
            </w:hyperlink>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05/10/2019</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2019 Equity Incentive Plan.</w:t>
              </w:r>
            </w:hyperlink>
          </w:p>
        </w:tc>
        <w:tc>
          <w:tcPr>
            <w:tcW w:w="2460" w:type="dxa"/>
            <w:vAlign w:val="bottom"/>
            <w:tcBorders>
              <w:top w:val="single" w:sz="8" w:color="0000EE"/>
            </w:tcBorders>
            <w:gridSpan w:val="10"/>
          </w:tcPr>
          <w:p>
            <w:pPr>
              <w:spacing w:after="0"/>
              <w:rPr>
                <w:sz w:val="17"/>
                <w:szCs w:val="17"/>
                <w:color w:val="auto"/>
              </w:rPr>
            </w:pPr>
          </w:p>
        </w:tc>
        <w:tc>
          <w:tcPr>
            <w:tcW w:w="320" w:type="dxa"/>
            <w:vAlign w:val="bottom"/>
            <w:gridSpan w:val="7"/>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Notice of Grant of Non-Statutory Stock Option for</w:t>
              </w:r>
            </w:hyperlink>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05/10/2019</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Directors under 2019 Equity Incentive Plan.</w:t>
              </w:r>
            </w:hyperlink>
          </w:p>
        </w:tc>
        <w:tc>
          <w:tcPr>
            <w:tcW w:w="1100" w:type="dxa"/>
            <w:vAlign w:val="bottom"/>
            <w:tcBorders>
              <w:top w:val="single" w:sz="8" w:color="0000EE"/>
            </w:tcBorders>
            <w:gridSpan w:val="4"/>
          </w:tcPr>
          <w:p>
            <w:pPr>
              <w:spacing w:after="0"/>
              <w:rPr>
                <w:sz w:val="17"/>
                <w:szCs w:val="17"/>
                <w:color w:val="auto"/>
              </w:rPr>
            </w:pPr>
          </w:p>
        </w:tc>
        <w:tc>
          <w:tcPr>
            <w:tcW w:w="520" w:type="dxa"/>
            <w:vAlign w:val="bottom"/>
            <w:gridSpan w:val="9"/>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60" w:type="dxa"/>
            <w:vAlign w:val="bottom"/>
          </w:tcPr>
          <w:p>
            <w:pPr>
              <w:spacing w:after="0"/>
              <w:rPr>
                <w:sz w:val="17"/>
                <w:szCs w:val="17"/>
                <w:color w:val="auto"/>
              </w:rPr>
            </w:pPr>
          </w:p>
        </w:tc>
        <w:tc>
          <w:tcPr>
            <w:tcW w:w="47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Relative Total Stockholder Return Unit Certificate under</w:t>
              </w:r>
            </w:hyperlink>
          </w:p>
        </w:tc>
        <w:tc>
          <w:tcPr>
            <w:tcW w:w="80" w:type="dxa"/>
            <w:vAlign w:val="bottom"/>
            <w:gridSpan w:val="3"/>
          </w:tcPr>
          <w:p>
            <w:pPr>
              <w:spacing w:after="0"/>
              <w:rPr>
                <w:sz w:val="17"/>
                <w:szCs w:val="17"/>
                <w:color w:val="auto"/>
              </w:rPr>
            </w:pPr>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05/10/2019</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2019 Equity Incentive Plan.</w:t>
              </w:r>
            </w:hyperlink>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60" w:type="dxa"/>
            <w:vAlign w:val="bottom"/>
          </w:tcPr>
          <w:p>
            <w:pPr>
              <w:spacing w:after="0"/>
              <w:rPr>
                <w:sz w:val="17"/>
                <w:szCs w:val="17"/>
                <w:color w:val="auto"/>
              </w:rPr>
            </w:pPr>
          </w:p>
        </w:tc>
        <w:tc>
          <w:tcPr>
            <w:tcW w:w="45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of Performance Share Unit Certificate under 2019 Equity</w:t>
              </w:r>
            </w:hyperlink>
          </w:p>
        </w:tc>
        <w:tc>
          <w:tcPr>
            <w:tcW w:w="240" w:type="dxa"/>
            <w:vAlign w:val="bottom"/>
            <w:gridSpan w:val="6"/>
          </w:tcPr>
          <w:p>
            <w:pPr>
              <w:spacing w:after="0"/>
              <w:rPr>
                <w:sz w:val="17"/>
                <w:szCs w:val="17"/>
                <w:color w:val="auto"/>
              </w:rPr>
            </w:pPr>
          </w:p>
        </w:tc>
        <w:tc>
          <w:tcPr>
            <w:tcW w:w="11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05/10/2019</w:t>
            </w:r>
          </w:p>
        </w:tc>
        <w:tc>
          <w:tcPr>
            <w:tcW w:w="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6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001-35839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Incentive Plan.</w:t>
              </w:r>
            </w:hyperlink>
          </w:p>
        </w:tc>
        <w:tc>
          <w:tcPr>
            <w:tcW w:w="3720" w:type="dxa"/>
            <w:vAlign w:val="bottom"/>
            <w:gridSpan w:val="20"/>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17"/>
                <w:szCs w:val="17"/>
                <w:color w:val="auto"/>
              </w:rPr>
            </w:pPr>
          </w:p>
        </w:tc>
        <w:tc>
          <w:tcPr>
            <w:tcW w:w="2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12">
              <w:r>
                <w:rPr>
                  <w:rFonts w:ascii="Times New Roman" w:cs="Times New Roman" w:eastAsia="Times New Roman" w:hAnsi="Times New Roman"/>
                  <w:sz w:val="18"/>
                  <w:szCs w:val="18"/>
                  <w:color w:val="0000EE"/>
                  <w:w w:val="98"/>
                </w:rPr>
                <w:t>Subsidiaries of the Company.</w:t>
              </w:r>
            </w:hyperlink>
          </w:p>
        </w:tc>
        <w:tc>
          <w:tcPr>
            <w:tcW w:w="2680" w:type="dxa"/>
            <w:vAlign w:val="bottom"/>
            <w:gridSpan w:val="16"/>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Consent of PricewaterhouseCoopers LLP, Independent</w:t>
              </w:r>
            </w:hyperlink>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13">
              <w:r>
                <w:rPr>
                  <w:rFonts w:ascii="Times New Roman" w:cs="Times New Roman" w:eastAsia="Times New Roman" w:hAnsi="Times New Roman"/>
                  <w:sz w:val="18"/>
                  <w:szCs w:val="18"/>
                  <w:color w:val="0000EE"/>
                  <w:w w:val="99"/>
                </w:rPr>
                <w:t>Registered Public Accounting Firm.</w:t>
              </w:r>
            </w:hyperlink>
          </w:p>
        </w:tc>
        <w:tc>
          <w:tcPr>
            <w:tcW w:w="1340" w:type="dxa"/>
            <w:vAlign w:val="bottom"/>
            <w:tcBorders>
              <w:top w:val="single" w:sz="8" w:color="0000EE"/>
            </w:tcBorders>
            <w:gridSpan w:val="3"/>
          </w:tcPr>
          <w:p>
            <w:pPr>
              <w:spacing w:after="0"/>
              <w:rPr>
                <w:sz w:val="17"/>
                <w:szCs w:val="17"/>
                <w:color w:val="auto"/>
              </w:rPr>
            </w:pPr>
          </w:p>
        </w:tc>
        <w:tc>
          <w:tcPr>
            <w:tcW w:w="860" w:type="dxa"/>
            <w:vAlign w:val="bottom"/>
            <w:gridSpan w:val="11"/>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7"/>
                <w:szCs w:val="17"/>
                <w:color w:val="auto"/>
              </w:rPr>
            </w:pPr>
          </w:p>
        </w:tc>
        <w:tc>
          <w:tcPr>
            <w:tcW w:w="47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Certification of the Chief Executive Officer pursuant to Rule 13a-</w:t>
              </w:r>
            </w:hyperlink>
          </w:p>
        </w:tc>
        <w:tc>
          <w:tcPr>
            <w:tcW w:w="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14(a) or 15d-14(a) of the Securities Exchange Act of 1934.</w:t>
              </w:r>
            </w:hyperlink>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Certification of Chief Financial Officer pursuant to Rule 13a-</w:t>
              </w:r>
            </w:hyperlink>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14(a) or 15d-14(a) of the Securities Exchange Act of 1934.</w:t>
              </w:r>
            </w:hyperlink>
          </w:p>
        </w:tc>
        <w:tc>
          <w:tcPr>
            <w:tcW w:w="38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Certification of the Chief Executive Officer and Chief Financial</w:t>
              </w:r>
            </w:hyperlink>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gridSpan w:val="10"/>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22"/>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Officer pursuant to 18 U.S.C. Section 1350, as adopted pursuant</w:t>
              </w:r>
            </w:hyperlink>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to Section 906 of the Sarbanes-Oxley Act of 2002.</w:t>
              </w:r>
            </w:hyperlink>
          </w:p>
        </w:tc>
        <w:tc>
          <w:tcPr>
            <w:tcW w:w="18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40" w:type="dxa"/>
            <w:vAlign w:val="bottom"/>
            <w:gridSpan w:val="10"/>
            <w:shd w:val="clear" w:color="auto" w:fill="0000EE"/>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18"/>
                <w:szCs w:val="18"/>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24"/>
                <w:szCs w:val="24"/>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24"/>
                <w:szCs w:val="24"/>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Pr>
          <w:p>
            <w:pPr>
              <w:spacing w:after="0"/>
              <w:rPr>
                <w:sz w:val="23"/>
                <w:szCs w:val="23"/>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22"/>
                <w:szCs w:val="22"/>
                <w:color w:val="auto"/>
              </w:rPr>
            </w:pPr>
          </w:p>
        </w:tc>
        <w:tc>
          <w:tcPr>
            <w:tcW w:w="4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Document</w:t>
      </w:r>
    </w:p>
    <w:p>
      <w:pPr>
        <w:spacing w:after="0" w:line="31" w:lineRule="exact"/>
        <w:rPr>
          <w:sz w:val="20"/>
          <w:szCs w:val="20"/>
          <w:color w:val="auto"/>
        </w:rPr>
      </w:pPr>
    </w:p>
    <w:p>
      <w:pPr>
        <w:ind w:left="780" w:right="6200" w:hanging="772"/>
        <w:spacing w:after="0" w:line="28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64" w:lineRule="exact"/>
        <w:rPr>
          <w:sz w:val="20"/>
          <w:szCs w:val="20"/>
          <w:color w:val="auto"/>
        </w:rPr>
      </w:pPr>
    </w:p>
    <w:p>
      <w:pPr>
        <w:ind w:left="600" w:hanging="592"/>
        <w:spacing w:after="0"/>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004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7" w:lineRule="exact"/>
        <w:rPr>
          <w:sz w:val="20"/>
          <w:szCs w:val="20"/>
          <w:color w:val="auto"/>
        </w:rPr>
      </w:pPr>
    </w:p>
    <w:p>
      <w:pPr>
        <w:ind w:left="600" w:hanging="592"/>
        <w:spacing w:after="0"/>
        <w:tabs>
          <w:tab w:leader="none" w:pos="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as to portions of this Exhibit. The confidential portions of this Exhibit have been omitted and are marked by asterisks.</w:t>
      </w:r>
    </w:p>
    <w:p>
      <w:pPr>
        <w:spacing w:after="0" w:line="9" w:lineRule="exact"/>
        <w:rPr>
          <w:rFonts w:ascii="Times New Roman" w:cs="Times New Roman" w:eastAsia="Times New Roman" w:hAnsi="Times New Roman"/>
          <w:sz w:val="18"/>
          <w:szCs w:val="18"/>
          <w:color w:val="auto"/>
        </w:rPr>
      </w:pPr>
    </w:p>
    <w:p>
      <w:pPr>
        <w:ind w:left="600" w:right="160" w:hanging="59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has been filed separately with the commission pursuant to an application for confidentiality treatment. The confidential portions of this Exhibit have been omitted and are marked by asterisks.</w:t>
      </w:r>
    </w:p>
    <w:p>
      <w:pPr>
        <w:spacing w:after="0" w:line="17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 this 27th day of November,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 Jay R. Luly, Ph.D.</w:t>
            </w:r>
          </w:p>
        </w:tc>
      </w:tr>
      <w:tr>
        <w:trPr>
          <w:trHeight w:val="189"/>
        </w:trPr>
        <w:tc>
          <w:tcPr>
            <w:tcW w:w="360" w:type="dxa"/>
            <w:vAlign w:val="bottom"/>
          </w:tcPr>
          <w:p>
            <w:pPr>
              <w:spacing w:after="0"/>
              <w:rPr>
                <w:sz w:val="16"/>
                <w:szCs w:val="16"/>
                <w:color w:val="auto"/>
              </w:rPr>
            </w:pPr>
          </w:p>
        </w:tc>
        <w:tc>
          <w:tcPr>
            <w:tcW w:w="5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Jay R. Luly, Ph.D.</w:t>
            </w:r>
          </w:p>
        </w:tc>
      </w:tr>
      <w:tr>
        <w:trPr>
          <w:trHeight w:val="236"/>
        </w:trPr>
        <w:tc>
          <w:tcPr>
            <w:tcW w:w="3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in the capacities and on the dates indicated.</w:t>
      </w:r>
    </w:p>
    <w:p>
      <w:pPr>
        <w:sectPr>
          <w:pgSz w:w="11900" w:h="16838" w:orient="portrait"/>
          <w:cols w:equalWidth="0" w:num="1">
            <w:col w:w="11380"/>
          </w:cols>
          <w:pgMar w:left="240" w:top="333" w:right="279" w:bottom="1440" w:gutter="0" w:footer="0" w:header="0"/>
        </w:sectPr>
      </w:pPr>
    </w:p>
    <w:p>
      <w:pPr>
        <w:spacing w:after="0" w:line="37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u w:val="single" w:color="auto"/>
          <w:color w:val="auto"/>
        </w:rPr>
        <w:t>Signature</w:t>
      </w:r>
    </w:p>
    <w:p>
      <w:pPr>
        <w:spacing w:after="0" w:line="114"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499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43"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8"/>
          <w:szCs w:val="18"/>
          <w:color w:val="auto"/>
        </w:rPr>
        <w:t>Jay R. Luly, Ph.D.</w:t>
      </w:r>
    </w:p>
    <w:p>
      <w:pPr>
        <w:spacing w:after="0" w:line="306"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499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43" w:lineRule="exact"/>
        <w:rPr>
          <w:sz w:val="20"/>
          <w:szCs w:val="20"/>
          <w:color w:val="auto"/>
        </w:rPr>
      </w:pPr>
    </w:p>
    <w:p>
      <w:pPr>
        <w:jc w:val="right"/>
        <w:ind w:right="222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0" w:lineRule="exact"/>
        <w:rPr>
          <w:sz w:val="20"/>
          <w:szCs w:val="20"/>
          <w:color w:val="auto"/>
        </w:rPr>
      </w:pPr>
    </w:p>
    <w:p>
      <w:pPr>
        <w:spacing w:after="0" w:line="228"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/s/ Bruce L.A. Carter,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499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70"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Bruce L.A. Carter, Ph.D.</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u w:val="single" w:color="auto"/>
          <w:color w:val="auto"/>
        </w:rPr>
        <w:t>Title</w:t>
      </w:r>
    </w:p>
    <w:p>
      <w:pPr>
        <w:spacing w:after="0" w:line="11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President and Chief Executive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(Principal Financial 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401" w:lineRule="exact"/>
        <w:rPr>
          <w:sz w:val="20"/>
          <w:szCs w:val="20"/>
          <w:color w:val="auto"/>
        </w:rPr>
      </w:pPr>
    </w:p>
    <w:p>
      <w:pPr>
        <w:sectPr>
          <w:pgSz w:w="11900" w:h="16838" w:orient="portrait"/>
          <w:cols w:equalWidth="0" w:num="3">
            <w:col w:w="5300" w:space="720"/>
            <w:col w:w="3200" w:space="720"/>
            <w:col w:w="1440"/>
          </w:cols>
          <w:pgMar w:left="240" w:top="333" w:right="27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/s/ George S. Golumbeski, Ph.D.</w:t>
            </w:r>
          </w:p>
        </w:tc>
        <w:tc>
          <w:tcPr>
            <w:tcW w:w="230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7"/>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George S. Golumbeski, Ph.D.</w:t>
            </w:r>
          </w:p>
        </w:tc>
        <w:tc>
          <w:tcPr>
            <w:tcW w:w="2300" w:type="dxa"/>
            <w:vAlign w:val="bottom"/>
          </w:tcPr>
          <w:p>
            <w:pPr>
              <w:spacing w:after="0"/>
              <w:rPr>
                <w:sz w:val="24"/>
                <w:szCs w:val="24"/>
                <w:color w:val="auto"/>
              </w:rPr>
            </w:pPr>
          </w:p>
        </w:tc>
      </w:tr>
      <w:tr>
        <w:trPr>
          <w:trHeight w:val="338"/>
        </w:trPr>
        <w:tc>
          <w:tcPr>
            <w:tcW w:w="51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/s/ Kristine Peterson</w:t>
            </w:r>
          </w:p>
        </w:tc>
        <w:tc>
          <w:tcPr>
            <w:tcW w:w="230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7"/>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2300" w:type="dxa"/>
            <w:vAlign w:val="bottom"/>
          </w:tcPr>
          <w:p>
            <w:pPr>
              <w:spacing w:after="0"/>
              <w:rPr>
                <w:sz w:val="24"/>
                <w:szCs w:val="24"/>
                <w:color w:val="auto"/>
              </w:rPr>
            </w:pPr>
          </w:p>
        </w:tc>
      </w:tr>
      <w:tr>
        <w:trPr>
          <w:trHeight w:val="338"/>
        </w:trPr>
        <w:tc>
          <w:tcPr>
            <w:tcW w:w="5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/s/ Lesley Russell, MB. Ch.B., MRCP</w:t>
            </w:r>
          </w:p>
        </w:tc>
        <w:tc>
          <w:tcPr>
            <w:tcW w:w="230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7"/>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Lesley Russell, MB. Ch.B., MRCP</w:t>
            </w:r>
          </w:p>
        </w:tc>
        <w:tc>
          <w:tcPr>
            <w:tcW w:w="2300" w:type="dxa"/>
            <w:vAlign w:val="bottom"/>
          </w:tcPr>
          <w:p>
            <w:pPr>
              <w:spacing w:after="0"/>
              <w:rPr>
                <w:sz w:val="24"/>
                <w:szCs w:val="24"/>
                <w:color w:val="auto"/>
              </w:rPr>
            </w:pPr>
          </w:p>
        </w:tc>
      </w:tr>
      <w:tr>
        <w:trPr>
          <w:trHeight w:val="338"/>
        </w:trPr>
        <w:tc>
          <w:tcPr>
            <w:tcW w:w="5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/s/ Terry Vance</w:t>
            </w:r>
          </w:p>
        </w:tc>
        <w:tc>
          <w:tcPr>
            <w:tcW w:w="230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7"/>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Terry Vance</w:t>
            </w:r>
          </w:p>
        </w:tc>
        <w:tc>
          <w:tcPr>
            <w:tcW w:w="2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497" w:lineRule="exact"/>
        <w:rPr>
          <w:sz w:val="20"/>
          <w:szCs w:val="20"/>
          <w:color w:val="auto"/>
        </w:rPr>
      </w:pPr>
    </w:p>
    <w:p>
      <w:pPr>
        <w:sectPr>
          <w:pgSz w:w="11900" w:h="16838" w:orient="portrait"/>
          <w:cols w:equalWidth="0" w:num="2">
            <w:col w:w="9220" w:space="720"/>
            <w:col w:w="1440"/>
          </w:cols>
          <w:pgMar w:left="240" w:top="333" w:right="279" w:bottom="1440" w:gutter="0" w:footer="0" w:header="0"/>
          <w:type w:val="continuous"/>
        </w:sect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gridSpan w:val="8"/>
            <w:vMerge w:val="restart"/>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Report of Independent Registered Public Accounting Firm</w:t>
              </w:r>
            </w:hyperlink>
          </w:p>
        </w:tc>
        <w:tc>
          <w:tcPr>
            <w:tcW w:w="58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4900" w:type="dxa"/>
            <w:vAlign w:val="bottom"/>
            <w:gridSpan w:val="8"/>
            <w:vMerge w:val="continue"/>
          </w:tcPr>
          <w:p>
            <w:pPr>
              <w:spacing w:after="0"/>
              <w:rPr>
                <w:sz w:val="13"/>
                <w:szCs w:val="13"/>
                <w:color w:val="auto"/>
              </w:rPr>
            </w:pPr>
          </w:p>
        </w:tc>
        <w:tc>
          <w:tcPr>
            <w:tcW w:w="5860" w:type="dxa"/>
            <w:vAlign w:val="bottom"/>
          </w:tcPr>
          <w:p>
            <w:pPr>
              <w:spacing w:after="0"/>
              <w:rPr>
                <w:sz w:val="13"/>
                <w:szCs w:val="13"/>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6"/>
          </w:tcPr>
          <w:p>
            <w:pPr>
              <w:spacing w:after="0"/>
              <w:rPr>
                <w:sz w:val="18"/>
                <w:szCs w:val="18"/>
                <w:color w:val="auto"/>
              </w:rPr>
            </w:pPr>
          </w:p>
        </w:tc>
        <w:tc>
          <w:tcPr>
            <w:tcW w:w="6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Operations</w:t>
              </w:r>
            </w:hyperlink>
          </w:p>
        </w:tc>
        <w:tc>
          <w:tcPr>
            <w:tcW w:w="58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Statements of Comprehensive Income</w:t>
              </w:r>
            </w:hyperlink>
          </w:p>
        </w:tc>
        <w:tc>
          <w:tcPr>
            <w:tcW w:w="58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1160" w:type="dxa"/>
            <w:vAlign w:val="bottom"/>
            <w:gridSpan w:val="2"/>
          </w:tcPr>
          <w:p>
            <w:pPr>
              <w:spacing w:after="0"/>
              <w:rPr>
                <w:sz w:val="17"/>
                <w:szCs w:val="17"/>
                <w:color w:val="auto"/>
              </w:rPr>
            </w:pPr>
          </w:p>
        </w:tc>
        <w:tc>
          <w:tcPr>
            <w:tcW w:w="58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Consolidated Statements of Cash Flows</w:t>
              </w:r>
            </w:hyperlink>
          </w:p>
        </w:tc>
        <w:tc>
          <w:tcPr>
            <w:tcW w:w="2020" w:type="dxa"/>
            <w:vAlign w:val="bottom"/>
            <w:gridSpan w:val="5"/>
          </w:tcPr>
          <w:p>
            <w:pPr>
              <w:spacing w:after="0"/>
              <w:rPr>
                <w:sz w:val="17"/>
                <w:szCs w:val="17"/>
                <w:color w:val="auto"/>
              </w:rPr>
            </w:pPr>
          </w:p>
        </w:tc>
        <w:tc>
          <w:tcPr>
            <w:tcW w:w="58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Notes to Consolidated Financial Statements</w:t>
              </w:r>
            </w:hyperlink>
          </w:p>
        </w:tc>
        <w:tc>
          <w:tcPr>
            <w:tcW w:w="586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898"/>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40" w:type="dxa"/>
            <w:vAlign w:val="bottom"/>
            <w:gridSpan w:val="3"/>
          </w:tcPr>
          <w:p>
            <w:pPr>
              <w:jc w:val="right"/>
              <w:ind w:right="560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9" w:name="page80"/>
    <w:bookmarkEnd w:id="79"/>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Enanta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Enanta Pharmaceuticals, Inc. and its subsidiary (the “Company”) as of September 30, 2019 and 2018, and the related consolidated statements of operations, comprehensive income, stockholders’ equity and cash flows for each of the three years in the period ended September 30, 2019, including the related notes (collectively referred to as the “consolidated financial statements”). We also have audited the Company's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September 30, 2019 and 2018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September 30, 2019 in conformity with accounting principles generally accepted in the United States of America. Also in our opinion, the Company maintained, in all material respects, effective internal control over financial reporting as of September 30, 2019,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0" w:name="page81"/>
    <w:bookmarkEnd w:id="80"/>
    <w:p>
      <w:pPr>
        <w:ind w:right="80"/>
        <w:spacing w:after="0" w:line="258" w:lineRule="auto"/>
        <w:rPr>
          <w:sz w:val="20"/>
          <w:szCs w:val="20"/>
          <w:color w:val="auto"/>
        </w:rPr>
      </w:pPr>
      <w:r>
        <w:rPr>
          <w:rFonts w:ascii="Times New Roman" w:cs="Times New Roman" w:eastAsia="Times New Roman" w:hAnsi="Times New Roman"/>
          <w:sz w:val="18"/>
          <w:szCs w:val="18"/>
          <w:color w:val="auto"/>
        </w:rPr>
        <w:t>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and Clinical Manufacturing Accruals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has entered into various contracts with third parties to perform research and development and clinical manufacturing. When billing terms under these contracts do not coincide with the timing of when the work is performed, management is required to make estimates of outstanding obligations as of period end to those third parties. Within accrued expenses and other current liabilities, total accrued research and development expenses and accrued clinical manufacturing amounted to $6.9 million and $3.4 million as of September 30, 2019, respectively. Any accrual estimates are based on a number of factors, including management’s knowledge of the research and development programs and clinical manufacturing activities associated with timelines, invoicing to date, and the provisions in the contract. Significant judgments and estimates are made in determining the accrued balances at the end of any reporting period.</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research and development and clinical manufacturing accruals is a critical audit matter are there was significant judgment by management in developing the accrual estimate, as the estimates are based on a number of factors, including management’s knowledge of the research and development programs and associated timelines, invoicing to date, and the provisions in the contract. This in turn led to significant auditor judgment, subjectivity and effort in performing procedures to evaluate audit evidence for these estimates.</w:t>
      </w:r>
    </w:p>
    <w:p>
      <w:pPr>
        <w:spacing w:after="0" w:line="3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accrued research and development expenses and accrued clinical manufacturing, including controls over the review of contracts and assessment of progress of the accrued research and development and accrued clinical manufacturing activities. These procedures also included, among others, understanding management’s process, reading research and development and clinical manufacturing contracts on a test basis, and testing management’s process for developing estimates based upon the progress of the research and development and clinical manufacturing activities. Testing management’s process for developing the accrual estimates involved evaluating management’s calculation and the reasonableness of the assumptions related to the research and development programs and associated timelines, invoicing to date and the provisions in the contracts. Procedures were performed to evaluate the reliability, completeness and relevance of management’s data by testing actual invoices paid for consistency with the contractual terms.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53"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CFF0FC"/>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489,829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414,227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$0.01 par value per share, 100,000 shares authorized; 19,703 and 19,395 shares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issued and outstanding at September 30, 2019 and September 30, 2018, respectively</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489,829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3" w:name="page84"/>
    <w:bookmarkEnd w:id="83"/>
    <w:p>
      <w:pPr>
        <w:ind w:left="41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5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Royalties</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191,625</w:t>
            </w:r>
          </w:p>
        </w:tc>
        <w:tc>
          <w:tcPr>
            <w:tcW w:w="220" w:type="dxa"/>
            <w:vAlign w:val="bottom"/>
          </w:tcPr>
          <w:p>
            <w:pPr>
              <w:spacing w:after="0"/>
              <w:rPr>
                <w:sz w:val="19"/>
                <w:szCs w:val="19"/>
                <w:color w:val="auto"/>
              </w:rPr>
            </w:pP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37,814</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Milestones</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102,814</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57,451</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78,200</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88,328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 liability and Series 1 nonconvertible preferred stock</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65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26,947</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(21,165)</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(9,237)</w:t>
            </w:r>
          </w:p>
        </w:tc>
      </w:tr>
      <w:tr>
        <w:trPr>
          <w:trHeight w:val="263"/>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00" w:type="dxa"/>
            <w:vAlign w:val="bottom"/>
            <w:tcBorders>
              <w:bottom w:val="single" w:sz="8" w:color="CFF0FC"/>
            </w:tcBorders>
          </w:tcPr>
          <w:p>
            <w:pPr>
              <w:spacing w:after="0"/>
              <w:rPr>
                <w:sz w:val="22"/>
                <w:szCs w:val="22"/>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19"/>
                <w:szCs w:val="19"/>
                <w:color w:val="auto"/>
              </w:rPr>
            </w:pP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00" w:type="dxa"/>
            <w:vAlign w:val="bottom"/>
            <w:shd w:val="clear" w:color="auto" w:fill="CFF0FC"/>
          </w:tcPr>
          <w:p>
            <w:pPr>
              <w:spacing w:after="0"/>
              <w:rPr>
                <w:sz w:val="19"/>
                <w:szCs w:val="19"/>
                <w:color w:val="auto"/>
              </w:rPr>
            </w:pPr>
          </w:p>
        </w:tc>
      </w:tr>
      <w:tr>
        <w:trPr>
          <w:trHeight w:val="234"/>
        </w:trPr>
        <w:tc>
          <w:tcPr>
            <w:tcW w:w="6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4" w:name="page85"/>
    <w:bookmarkEnd w:id="84"/>
    <w:p>
      <w:pPr>
        <w:ind w:left="41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44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46,383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unrealized gain (loss) on marketable securities, net of tax expense (benefit) of</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$173, ($109), and ($78)</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6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46,927</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71,670</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347" w:right="359" w:bottom="1440" w:gutter="0" w:footer="0" w:header="0"/>
        </w:sectPr>
      </w:pPr>
    </w:p>
    <w:bookmarkStart w:id="85" w:name="page86"/>
    <w:bookmarkEnd w:id="85"/>
    <w:p>
      <w:pPr>
        <w:ind w:left="41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4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26"/>
        </w:trPr>
        <w:tc>
          <w:tcPr>
            <w:tcW w:w="40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060" w:type="dxa"/>
            <w:vAlign w:val="bottom"/>
          </w:tcPr>
          <w:p>
            <w:pPr>
              <w:spacing w:after="0"/>
              <w:rPr>
                <w:sz w:val="13"/>
                <w:szCs w:val="13"/>
                <w:color w:val="auto"/>
              </w:rPr>
            </w:pPr>
          </w:p>
        </w:tc>
        <w:tc>
          <w:tcPr>
            <w:tcW w:w="1020" w:type="dxa"/>
            <w:vAlign w:val="bottom"/>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3"/>
                <w:szCs w:val="13"/>
                <w:color w:val="auto"/>
              </w:rPr>
            </w:pPr>
          </w:p>
        </w:tc>
        <w:tc>
          <w:tcPr>
            <w:tcW w:w="110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19,036</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190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242,081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269,936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8"/>
                <w:szCs w:val="18"/>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(202)</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13,071</w:t>
            </w:r>
          </w:p>
        </w:tc>
        <w:tc>
          <w:tcPr>
            <w:tcW w:w="100" w:type="dxa"/>
            <w:vAlign w:val="bottom"/>
          </w:tcPr>
          <w:p>
            <w:pPr>
              <w:spacing w:after="0"/>
              <w:rPr>
                <w:sz w:val="18"/>
                <w:szCs w:val="18"/>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 from stock option exercises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FF0FC"/>
          </w:tcPr>
          <w:p>
            <w:pPr>
              <w:spacing w:after="0"/>
              <w:rPr>
                <w:sz w:val="19"/>
                <w:szCs w:val="19"/>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w:t>
            </w: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17,710</w:t>
            </w:r>
          </w:p>
        </w:tc>
        <w:tc>
          <w:tcPr>
            <w:tcW w:w="100" w:type="dxa"/>
            <w:vAlign w:val="bottom"/>
            <w:shd w:val="clear" w:color="auto" w:fill="CFF0FC"/>
          </w:tcPr>
          <w:p>
            <w:pPr>
              <w:spacing w:after="0"/>
              <w:rPr>
                <w:sz w:val="19"/>
                <w:szCs w:val="19"/>
                <w:color w:val="auto"/>
              </w:rPr>
            </w:pPr>
          </w:p>
        </w:tc>
      </w:tr>
      <w:tr>
        <w:trPr>
          <w:trHeight w:val="204"/>
        </w:trPr>
        <w:tc>
          <w:tcPr>
            <w:tcW w:w="4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2017</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19,120</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191</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45,356</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301,676</w:t>
            </w:r>
          </w:p>
        </w:tc>
        <w:tc>
          <w:tcPr>
            <w:tcW w:w="100" w:type="dxa"/>
            <w:vAlign w:val="bottom"/>
          </w:tcPr>
          <w:p>
            <w:pPr>
              <w:spacing w:after="0"/>
              <w:rPr>
                <w:sz w:val="17"/>
                <w:szCs w:val="17"/>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 and warrants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100" w:type="dxa"/>
            <w:vAlign w:val="bottom"/>
            <w:shd w:val="clear" w:color="auto" w:fill="CFF0FC"/>
          </w:tcPr>
          <w:p>
            <w:pPr>
              <w:spacing w:after="0"/>
              <w:rPr>
                <w:sz w:val="19"/>
                <w:szCs w:val="19"/>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(1,756)</w:t>
            </w: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15,845</w:t>
            </w:r>
          </w:p>
        </w:tc>
        <w:tc>
          <w:tcPr>
            <w:tcW w:w="100" w:type="dxa"/>
            <w:vAlign w:val="bottom"/>
            <w:shd w:val="clear" w:color="auto" w:fill="CFF0FC"/>
          </w:tcPr>
          <w:p>
            <w:pPr>
              <w:spacing w:after="0"/>
              <w:rPr>
                <w:sz w:val="19"/>
                <w:szCs w:val="19"/>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Cumulative effect adjustment for adoption of new</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accounting guidance (Note 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(286)</w:t>
            </w: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71,956</w:t>
            </w:r>
          </w:p>
        </w:tc>
        <w:tc>
          <w:tcPr>
            <w:tcW w:w="100" w:type="dxa"/>
            <w:vAlign w:val="bottom"/>
          </w:tcPr>
          <w:p>
            <w:pPr>
              <w:spacing w:after="0"/>
              <w:rPr>
                <w:sz w:val="18"/>
                <w:szCs w:val="18"/>
                <w:color w:val="auto"/>
              </w:rPr>
            </w:pPr>
          </w:p>
        </w:tc>
      </w:tr>
      <w:tr>
        <w:trPr>
          <w:trHeight w:val="212"/>
        </w:trPr>
        <w:tc>
          <w:tcPr>
            <w:tcW w:w="4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19,395</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194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276,526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117,357</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393,679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00" w:type="dxa"/>
            <w:vAlign w:val="bottom"/>
          </w:tcPr>
          <w:p>
            <w:pPr>
              <w:spacing w:after="0"/>
              <w:rPr>
                <w:sz w:val="18"/>
                <w:szCs w:val="18"/>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 net of withholding</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(4,189)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(4,188)</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19,226</w:t>
            </w:r>
          </w:p>
        </w:tc>
        <w:tc>
          <w:tcPr>
            <w:tcW w:w="100" w:type="dxa"/>
            <w:vAlign w:val="bottom"/>
          </w:tcPr>
          <w:p>
            <w:pPr>
              <w:spacing w:after="0"/>
              <w:rPr>
                <w:sz w:val="18"/>
                <w:szCs w:val="18"/>
                <w:color w:val="auto"/>
              </w:rPr>
            </w:pPr>
          </w:p>
        </w:tc>
      </w:tr>
      <w:tr>
        <w:trPr>
          <w:trHeight w:val="22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46,383</w:t>
            </w:r>
          </w:p>
        </w:tc>
        <w:tc>
          <w:tcPr>
            <w:tcW w:w="100" w:type="dxa"/>
            <w:vAlign w:val="bottom"/>
          </w:tcPr>
          <w:p>
            <w:pPr>
              <w:spacing w:after="0"/>
              <w:rPr>
                <w:sz w:val="18"/>
                <w:szCs w:val="18"/>
                <w:color w:val="auto"/>
              </w:rPr>
            </w:pPr>
          </w:p>
        </w:tc>
      </w:tr>
      <w:tr>
        <w:trPr>
          <w:trHeight w:val="210"/>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Balances at September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197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298,409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163,740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462,492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6" w:name="page87"/>
    <w:bookmarkEnd w:id="86"/>
    <w:p>
      <w:pPr>
        <w:ind w:left="41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5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5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46,383</w:t>
            </w:r>
          </w:p>
        </w:tc>
        <w:tc>
          <w:tcPr>
            <w:tcW w:w="60" w:type="dxa"/>
            <w:vAlign w:val="bottom"/>
          </w:tcPr>
          <w:p>
            <w:pPr>
              <w:spacing w:after="0"/>
              <w:rPr>
                <w:sz w:val="18"/>
                <w:szCs w:val="18"/>
                <w:color w:val="auto"/>
              </w:rPr>
            </w:pPr>
          </w:p>
        </w:tc>
        <w:tc>
          <w:tcPr>
            <w:tcW w:w="50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71,956</w:t>
            </w:r>
          </w:p>
        </w:tc>
        <w:tc>
          <w:tcPr>
            <w:tcW w:w="220" w:type="dxa"/>
            <w:vAlign w:val="bottom"/>
          </w:tcPr>
          <w:p>
            <w:pPr>
              <w:spacing w:after="0"/>
              <w:rPr>
                <w:sz w:val="18"/>
                <w:szCs w:val="18"/>
                <w:color w:val="auto"/>
              </w:rPr>
            </w:pP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17,710</w:t>
            </w:r>
          </w:p>
        </w:tc>
        <w:tc>
          <w:tcPr>
            <w:tcW w:w="100" w:type="dxa"/>
            <w:vAlign w:val="bottom"/>
          </w:tcPr>
          <w:p>
            <w:pPr>
              <w:spacing w:after="0"/>
              <w:rPr>
                <w:sz w:val="18"/>
                <w:szCs w:val="18"/>
                <w:color w:val="auto"/>
              </w:rPr>
            </w:pPr>
          </w:p>
        </w:tc>
      </w:tr>
      <w:tr>
        <w:trPr>
          <w:trHeight w:val="194"/>
        </w:trPr>
        <w:tc>
          <w:tcPr>
            <w:tcW w:w="652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4"/>
        </w:trPr>
        <w:tc>
          <w:tcPr>
            <w:tcW w:w="6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activities:</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6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13,071</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(1,654)</w:t>
            </w:r>
          </w:p>
        </w:tc>
      </w:tr>
      <w:tr>
        <w:trPr>
          <w:trHeight w:val="216"/>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Income tax benefit from stock awards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(213)</w:t>
            </w:r>
          </w:p>
        </w:tc>
      </w:tr>
      <w:tr>
        <w:trPr>
          <w:trHeight w:val="216"/>
        </w:trPr>
        <w:tc>
          <w:tcPr>
            <w:tcW w:w="6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(1,229)</w:t>
            </w:r>
          </w:p>
        </w:tc>
      </w:tr>
      <w:tr>
        <w:trPr>
          <w:trHeight w:val="216"/>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(Accretion) amortization of (discount) premium on marketable securities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(4,336)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(835)</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 in fair value of warrant liability and Series 1 nonconvertible preferred stock</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non-cash items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(75)</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5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15,892</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(56,591)</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(10,845)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(918)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5,678</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3,443</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Income taxes payable</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(7,910)</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9,511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Other long-term assets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52,653</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(549,312)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(293,103)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(251,371)</w:t>
            </w:r>
          </w:p>
        </w:tc>
      </w:tr>
      <w:tr>
        <w:trPr>
          <w:trHeight w:val="216"/>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468,065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260,682</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249,305</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(2,981)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(2,506)</w:t>
            </w:r>
          </w:p>
        </w:tc>
      </w:tr>
      <w:tr>
        <w:trPr>
          <w:trHeight w:val="210"/>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(86,664)</w:t>
            </w: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(35,402)</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warrants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6,848</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6,244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Income tax benefit from exercise of stock options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(1,756)</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(202)</w:t>
            </w:r>
          </w:p>
        </w:tc>
      </w:tr>
      <w:tr>
        <w:trPr>
          <w:trHeight w:val="216"/>
        </w:trPr>
        <w:tc>
          <w:tcPr>
            <w:tcW w:w="6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Payments of capital lease obligations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w:t>
            </w:r>
          </w:p>
        </w:tc>
      </w:tr>
      <w:tr>
        <w:trPr>
          <w:trHeight w:val="210"/>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(decrease) increase in cash and cash equivalents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49,098</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64,510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66,283</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17,185</w:t>
            </w:r>
          </w:p>
        </w:tc>
        <w:tc>
          <w:tcPr>
            <w:tcW w:w="100" w:type="dxa"/>
            <w:vAlign w:val="bottom"/>
            <w:shd w:val="clear" w:color="auto" w:fill="CFF0FC"/>
          </w:tcPr>
          <w:p>
            <w:pPr>
              <w:spacing w:after="0"/>
              <w:rPr>
                <w:sz w:val="18"/>
                <w:szCs w:val="18"/>
                <w:color w:val="auto"/>
              </w:rPr>
            </w:pPr>
          </w:p>
        </w:tc>
      </w:tr>
      <w:tr>
        <w:trPr>
          <w:trHeight w:val="250"/>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51,838</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64,510</w:t>
            </w: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66,283</w:t>
            </w:r>
          </w:p>
        </w:tc>
        <w:tc>
          <w:tcPr>
            <w:tcW w:w="100" w:type="dxa"/>
            <w:vAlign w:val="bottom"/>
            <w:tcBorders>
              <w:bottom w:val="single" w:sz="8" w:color="CFF0FC"/>
            </w:tcBorders>
          </w:tcPr>
          <w:p>
            <w:pPr>
              <w:spacing w:after="0"/>
              <w:rPr>
                <w:sz w:val="21"/>
                <w:szCs w:val="21"/>
                <w:color w:val="auto"/>
              </w:rPr>
            </w:pPr>
          </w:p>
        </w:tc>
      </w:tr>
      <w:tr>
        <w:trPr>
          <w:trHeight w:val="19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5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60" w:type="dxa"/>
            <w:vAlign w:val="bottom"/>
          </w:tcPr>
          <w:p>
            <w:pPr>
              <w:spacing w:after="0"/>
              <w:rPr>
                <w:sz w:val="18"/>
                <w:szCs w:val="18"/>
                <w:color w:val="auto"/>
              </w:rPr>
            </w:pPr>
          </w:p>
        </w:tc>
        <w:tc>
          <w:tcPr>
            <w:tcW w:w="50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26,088</w:t>
            </w:r>
          </w:p>
        </w:tc>
        <w:tc>
          <w:tcPr>
            <w:tcW w:w="220" w:type="dxa"/>
            <w:vAlign w:val="bottom"/>
          </w:tcPr>
          <w:p>
            <w:pPr>
              <w:spacing w:after="0"/>
              <w:rPr>
                <w:sz w:val="18"/>
                <w:szCs w:val="18"/>
                <w:color w:val="auto"/>
              </w:rPr>
            </w:pP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Non-cash items:</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2"/>
        </w:trPr>
        <w:tc>
          <w:tcPr>
            <w:tcW w:w="6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Purchases of fixed assets included in accounts payable and accrued expenses</w:t>
            </w:r>
          </w:p>
        </w:tc>
        <w:tc>
          <w:tcPr>
            <w:tcW w:w="5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60" w:type="dxa"/>
            <w:vAlign w:val="bottom"/>
          </w:tcPr>
          <w:p>
            <w:pPr>
              <w:spacing w:after="0"/>
              <w:rPr>
                <w:sz w:val="19"/>
                <w:szCs w:val="19"/>
                <w:color w:val="auto"/>
              </w:rPr>
            </w:pPr>
          </w:p>
        </w:tc>
        <w:tc>
          <w:tcPr>
            <w:tcW w:w="50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20" w:type="dxa"/>
            <w:vAlign w:val="bottom"/>
          </w:tcPr>
          <w:p>
            <w:pPr>
              <w:spacing w:after="0"/>
              <w:rPr>
                <w:sz w:val="19"/>
                <w:szCs w:val="19"/>
                <w:color w:val="auto"/>
              </w:rPr>
            </w:pP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7" w:name="page88"/>
    <w:bookmarkEnd w:id="87"/>
    <w:p>
      <w:pPr>
        <w:ind w:left="41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protease inhibitor discovered and developed through its collaboration with AbbVie for the treatment of chronic hepatitis C virus, or HCV. Glecaprevir is co-formulated as part of AbbVie’s leading direct-acting antiviral (DAA) combination treatment for HCV, which is marketed under the tradenames MAVYRET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(U.S.) and MAVIRET™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non-alcoholic steatohepatitis (“NASH”), and hepatitis B virus (“HBV”).</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72" w:lineRule="exact"/>
        <w:rPr>
          <w:sz w:val="20"/>
          <w:szCs w:val="20"/>
          <w:color w:val="auto"/>
        </w:rPr>
      </w:pPr>
    </w:p>
    <w:p>
      <w:pPr>
        <w:ind w:right="7860" w:firstLine="8"/>
        <w:spacing w:after="0" w:line="378" w:lineRule="auto"/>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3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8" w:name="page89"/>
    <w:bookmarkEnd w:id="88"/>
    <w:p>
      <w:pPr>
        <w:spacing w:after="0" w:line="255" w:lineRule="auto"/>
        <w:rPr>
          <w:sz w:val="20"/>
          <w:szCs w:val="20"/>
          <w:color w:val="auto"/>
        </w:rPr>
      </w:pPr>
      <w:r>
        <w:rPr>
          <w:rFonts w:ascii="Times New Roman" w:cs="Times New Roman" w:eastAsia="Times New Roman" w:hAnsi="Times New Roman"/>
          <w:sz w:val="18"/>
          <w:szCs w:val="18"/>
          <w:color w:val="auto"/>
        </w:rPr>
        <w:t>The Company classifies all of its marketable securities as available-for-sale. The Company continually evaluates the credit ratings of its investment portfolio and underlying securities. The Company invests in accordance with its investment policy and invests at the date of purchase in securities with a rating of A3/A- or higher according to Moody’s or S&amp;P or A- by Fitch.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net within the consolidated statements of operations. If any adjustment to fair value reflects a decline in the value of the investment, the Company considers available evidence to evaluate the extent to which the decline is “other than temporary” and reduces the investment to fair value through a charge to the consolidated statements of operations. There were no such adjustments necessary during the years ended September 30, 2019, 2018, and 2017.</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2019 and 2018 the Company had an outstanding letter of credit collateralized by a money market account of $608 to the benefit of the landlord of one of the Company’s existing building leases. This amount was classified as long-term restricted cash as of September 30, 2019 and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Customers and Suppliers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marketable securities and accounts receivable. The Company has all cash and investment balances at one accredited financial institution, including cash in amounts that exceed federally insured limits. The Company does not believe that it is subject to unusual credit risk beyond the normal credit risk associated with commercial banking relationships.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historically generated the majority of its revenue from its collaborative research and license agreements. As of September 30, 2019 and 2018, accounts receivable consisted of amounts due from the Company’s principal collaborator (see Note 7).</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completely dependent on third-party manufacturers for product supply for preclinical and clinical research activities. The Company relies and expects to continue to rely exclusively on several manufacturers to supply the Company with its drug supply requirements related to these activities. These research programs would be adversely affected by a significant interruption in the supply from these third-party manufacturers.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which are used to measure fair value, of which the first two levels are considered observable and the last is considered unobservable:</w:t>
      </w:r>
    </w:p>
    <w:p>
      <w:pPr>
        <w:spacing w:after="0" w:line="76" w:lineRule="exact"/>
        <w:rPr>
          <w:sz w:val="20"/>
          <w:szCs w:val="20"/>
          <w:color w:val="auto"/>
        </w:rPr>
      </w:pPr>
    </w:p>
    <w:p>
      <w:pPr>
        <w:ind w:left="1200" w:hanging="598"/>
        <w:spacing w:after="0"/>
        <w:tabs>
          <w:tab w:leader="none" w:pos="1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200" w:right="20" w:hanging="598"/>
        <w:spacing w:after="0" w:line="266" w:lineRule="auto"/>
        <w:tabs>
          <w:tab w:leader="none" w:pos="1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rFonts w:ascii="Times New Roman" w:cs="Times New Roman" w:eastAsia="Times New Roman" w:hAnsi="Times New Roman"/>
          <w:sz w:val="18"/>
          <w:szCs w:val="18"/>
          <w:color w:val="auto"/>
        </w:rPr>
      </w:pPr>
    </w:p>
    <w:p>
      <w:pPr>
        <w:ind w:left="1200" w:right="200" w:hanging="598"/>
        <w:spacing w:after="0" w:line="282" w:lineRule="auto"/>
        <w:tabs>
          <w:tab w:leader="none" w:pos="1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89" w:name="page90"/>
    <w:bookmarkEnd w:id="89"/>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instruments that are carried at fair value are cash equivalents, marketable securities and the Series 1 nonconvertible preferred stock. The carrying values of accounts receivable, accounts payable and accrued expenses approximate their fair value due to the short-term nature of these assets and liabilities.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following estimated useful lives:</w:t>
      </w:r>
    </w:p>
    <w:p>
      <w:pPr>
        <w:spacing w:after="0" w:line="37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4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5 years</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1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Shorter of life of lease or estimated useful life</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4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3 years</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3 years</w:t>
            </w:r>
          </w:p>
        </w:tc>
      </w:tr>
      <w:tr>
        <w:trPr>
          <w:trHeight w:val="32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41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9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of assets disposed are removed from the accounts and any resulting gain or loss is included in income from operations in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primarily property and equipment,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Prior to the adoption of ASU 2019-09,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on October 1, 2018, revenue was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 The consideration received under multiple-element arrangements that is fixed or determinable was allocated among the separate units of accounting based on the relative selling prices of the separate units of accounting. The selling price of a unit of accounting within each arrangement was derived using the hierarchy of evidence prescribed by ASC 605-25. The selling prices of deliverables under the arrangement were derived using third-party evidence (“TPE”) or a best estimate of selling price (“BESP”), if vendor-specific objective evidence (“VSOE”) was not available. The objective of BESP was to determine the price at which the Company would transact a sale if the element within the license agreement was sold on a standalone basis. Establishing BESP involved management’s judgment and considered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90" w:name="page91"/>
    <w:bookmarkEnd w:id="90"/>
    <w:p>
      <w:pPr>
        <w:ind w:right="100"/>
        <w:spacing w:after="0" w:line="276" w:lineRule="auto"/>
        <w:rPr>
          <w:sz w:val="20"/>
          <w:szCs w:val="20"/>
          <w:color w:val="auto"/>
        </w:rPr>
      </w:pPr>
      <w:r>
        <w:rPr>
          <w:rFonts w:ascii="Times New Roman" w:cs="Times New Roman" w:eastAsia="Times New Roman" w:hAnsi="Times New Roman"/>
          <w:sz w:val="17"/>
          <w:szCs w:val="17"/>
          <w:color w:val="auto"/>
        </w:rPr>
        <w:t>validating BESP, the Company considered whether changes in key assumptions used to determine the BESP would have a significant effect on the allocation of the arrangement consideration between the multiple deliverables. Deliverables under a multiple-element arrangement were separated into multiple units if</w:t>
      </w:r>
    </w:p>
    <w:p>
      <w:pPr>
        <w:spacing w:after="0" w:line="1" w:lineRule="exact"/>
        <w:rPr>
          <w:sz w:val="20"/>
          <w:szCs w:val="20"/>
          <w:color w:val="auto"/>
        </w:rPr>
      </w:pPr>
    </w:p>
    <w:p>
      <w:pPr>
        <w:ind w:firstLine="8"/>
        <w:spacing w:after="0" w:line="251" w:lineRule="auto"/>
        <w:tabs>
          <w:tab w:leader="none" w:pos="2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delivered item had value to the customer on a standalone basis, and (ii) if the arrangement included a general right of return relative to the delivered item, delivery or performance of the undelivered item was considered probable and substantially within the control of the Company. In determining the separate units of accounting, the Company evaluated whether the license had standalone value to the collaborator based on consideration of the relevant facts and circumstances for each arrangement. Factors considered in this determination included the research and development capabilities of the collaborator and the availability of relevant research expertise in the marketplace. In addition, the Company considered whether or not (i) the collaborator could use the license for its intended purpose without the receipt of the remaining deliverables, (ii) the value of the license was dependent on the undelivered items, and (iii) the collaborator or other vendors could provide the undelivered items. The arrangement consideration that was fixed or determinable at the inception of the arrangement was then allocated to the separate units of accounting based on their relative selling prices. The appropriate revenue recognition model was applied to each element and revenue was accordingly recognized as each element was delivered. The Company exercised significant judgment in determining whether a deliverable is a separate unit of accounting.</w:t>
      </w:r>
    </w:p>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Royalty revenue is recognized based on contractual terms when reported sales are reliably measurable and collectibility is reasonably assured, provided that there are no performance obligations remaining.</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Effective October 1, 2018, the Company adopted ASU 2014-09, which supersedes the revenue recognition requirements in ASC 605-25 and most industry-specific guidance. Under the new standard, the Company recognizes revenue to depict the transfer of promised goods or services to customers in an amount that reflects the consideration to which the Company expects to be entitled in exchange for those goods or services. The adoption of this guidance did not have an impact on the Company’s revenue recognition over royalty payments as the Company receives sales-based royalties for which the license is deemed to be the predominant item to which the royalties relate.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Included in research and development costs are wages, stock-based compensation and benefits of employees performing research and development,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also includes in research and development expenses the costs to complete the Company’s obligations under research collaborations. The Company expenses the cost of each contract as the work is performed.</w:t>
      </w:r>
    </w:p>
    <w:p>
      <w:pPr>
        <w:spacing w:after="0" w:line="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Clinical Manufacturing Accruals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contracts with third parties to perform research and development and clinical manufacturing. This includes contracts with contract research organizations (“CROs”), clinical manufacturing organizations (“CMOs”), testing laboratories, research hospitals and not for profit organizations and other entities to support our research and development activities. When billing terms under these contracts do not coincide with the timing of when the work is performed, the Company is required to make estimates of outstanding obligations as of period end to those third parties. Any accrual estimates are based on a number of factors, including the Company’s knowledge of the research and development programs and clinical manufacturing activities associated with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91" w:name="page92"/>
    <w:bookmarkEnd w:id="91"/>
    <w:p>
      <w:pPr>
        <w:spacing w:after="0" w:line="282" w:lineRule="auto"/>
        <w:rPr>
          <w:sz w:val="20"/>
          <w:szCs w:val="20"/>
          <w:color w:val="auto"/>
        </w:rPr>
      </w:pPr>
      <w:r>
        <w:rPr>
          <w:rFonts w:ascii="Times New Roman" w:cs="Times New Roman" w:eastAsia="Times New Roman" w:hAnsi="Times New Roman"/>
          <w:sz w:val="18"/>
          <w:szCs w:val="18"/>
          <w:color w:val="auto"/>
        </w:rPr>
        <w:t>timelines, invoicing to date, and the provisions in the contract. Significant judgments and estimates are made in determining the accrued balances at the end of any reporting period. Actual results could differ from our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recorded as general and administrative expenses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at fair value on the date of grant. The Company uses the Black-Scholes option-pricing model in the valuation of its stock options. The fair value of performance-based awards and restricted stock units is based on the fair value of the stock on the date of grant. The Company uses the Monte-Carlo model in order to calculate the fair value of the market-based awards. The fair value of options is recognized as stock-based compensation expense over the requisite service period, which is generally the vesting period of the respective award. Commencing with the adoption of ASU No. 2016-09 on October 1, 2017, the Company accounts for stock-based compensation expense related to forfeitures as the forfeitures occur. The straight-line method of expense recognition is applied to all awards with service-based and market-based conditions. The Company records stock-based compensation expense related to performance-based awards when the performance-based targets are probable of being achieved. The Company classifies stock-based compensation expense in the consolidated statements of operations in the same manner in which the award recipient’s payroll costs are classified.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income tax expense.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7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by dividing the net income by the weighted average number of shares of common stock outstanding for the period. Diluted net income per common share is computed by dividing net income by the weighted average number of common shares outstanding for the period, including potential dilutive common shares assuming the dilutive effect of outstanding stock options and unvested restricted stock units. Market-based awards are included in diluted net income per common share to the extent they would have vested if the period end date was the market criteria measurement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 is a biotechnology company focused on discovering and developing small molecule drugs for the treatment of viral infections and liver diseases. Revenue is generated exclusively from transactions occurring with partners located in the United States and all assets are held in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Comprehensive income includes net income as well as other changes in stockholders’ equity that result from transactions and economic events other than those with stockholders. The Company’s only element of other comprehensive income is unrealized gains and losses on available-for-sale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(the “FASB”) issued ASU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205-40) </w:t>
      </w:r>
      <w:r>
        <w:rPr>
          <w:rFonts w:ascii="Times New Roman" w:cs="Times New Roman" w:eastAsia="Times New Roman" w:hAnsi="Times New Roman"/>
          <w:sz w:val="18"/>
          <w:szCs w:val="18"/>
          <w:color w:val="auto"/>
        </w:rPr>
        <w:t>(“ASU 2014-15”). The Company adopted this standard as of September 30, 2017. The standard requires the Company to assess its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its current cash, cash equivalents and short-term and long-term marketable securities on hand at September 30, 2019 should be sufficient to fund operations for the foreseeable future, including at least the next twelve months beyond the date of issuance of these consolidated financial statements. The amount of capital available will depend on the Company’s management of its existing cash, cash equivalents and short-term and long-term marketable securities, as well as the level of future royalties the Company earns under its agreement with AbbVie. If the Company should require financing beyond these resources to fund its research and development efforts, it may not be able to obtain financing on acceptable terms, or at all.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and has since issued several additional amendments thereto, collectively referred to herein as ASC 606. This guidance was effective for the Company in the fiscal year beginning October 1, 2018. The Company adopted ASC 606 as of October 1, 2018 using the modified retrospective transition method. The adoption did not have an impact on its consolidated financial statements as the Company satisfied its performance obligations under its one open revenue contract in fiscal 2011, prior to the adoption of ASC 606. The adoption of this guidance did not have an impact on the Company’s accounting for royalty payments as the Company receives sales-based royalties for which the license is deemed to be the predominant item to which the royalties relate.</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(“ASU 2018-07”) which aligns the accounting treatment of stock awards granted to nonemployee consultants to those granted to employees. The Company early adopted the amendment as of April 1, 2019. The adoption of ASU 2018-07 did not have an impact on the Company’s consolidated financial statements since the Company did not have any outstanding nonemployee consultant stock awards prior to April 1, 2019.</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12529"/>
        </w:rPr>
        <w:t xml:space="preserve">In November 2016, the FASB issued ASU No. 2016-18, </w:t>
      </w:r>
      <w:r>
        <w:rPr>
          <w:rFonts w:ascii="Times New Roman" w:cs="Times New Roman" w:eastAsia="Times New Roman" w:hAnsi="Times New Roman"/>
          <w:sz w:val="18"/>
          <w:szCs w:val="18"/>
          <w:i w:val="1"/>
          <w:iCs w:val="1"/>
          <w:color w:val="212529"/>
        </w:rPr>
        <w:t>Statement of Cash Flows (Topic 230): Restricted Cash</w:t>
      </w:r>
      <w:r>
        <w:rPr>
          <w:rFonts w:ascii="Times New Roman" w:cs="Times New Roman" w:eastAsia="Times New Roman" w:hAnsi="Times New Roman"/>
          <w:sz w:val="18"/>
          <w:szCs w:val="18"/>
          <w:color w:val="212529"/>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w:t>
      </w:r>
      <w:r>
        <w:rPr>
          <w:rFonts w:ascii="Times New Roman" w:cs="Times New Roman" w:eastAsia="Times New Roman" w:hAnsi="Times New Roman"/>
          <w:sz w:val="18"/>
          <w:szCs w:val="18"/>
          <w:color w:val="000000"/>
        </w:rPr>
        <w:t>This standard was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effective for the Company in the fiscal year beginning October 1, 2018. </w:t>
      </w:r>
      <w:r>
        <w:rPr>
          <w:rFonts w:ascii="Times New Roman" w:cs="Times New Roman" w:eastAsia="Times New Roman" w:hAnsi="Times New Roman"/>
          <w:sz w:val="18"/>
          <w:szCs w:val="18"/>
          <w:color w:val="212529"/>
        </w:rPr>
        <w:t>The Company adopted ASU 2016-18 retrospectively as of October 1, 2018. Upon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adoption of ASU 2016-18, the amount of cash and cash equivalents previously presented in the consolidated statements of cash flows for the years ended September 30, 2018 and 2017 increased by $608 as of the beginning and end of the period to reflect the inclusion of restricted cash in the amount reported for changes in cash, cash equivalents and restricted cash.</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xml:space="preserve"> (“ASU 2017-09”) which provides updated guidance about changes to the terms or conditions of a share-based payment award that requires companies to apply modification accounting under Topic 718. This standard was effective for the Company in the fiscal year beginning October 1, 2018. The Company adopted ASU 2017-09 as of October 1, 2018. The adoption of ASU 2017-09 did not have an impact on its consolidated financial statements.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will replace the existing guidance in ASC 840, “Leases.” The FASB has also issued amendments to ASU 2016-02, including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(ASU 2018-11), which the Company collectively refers to as the new leasing standard. This standard is effective for the Company in the fiscal year beginning October 1, 2019. The Company’s outstanding leases primarily relate to its two facility leases located in Watertown,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93" w:name="page94"/>
    <w:bookmarkEnd w:id="93"/>
    <w:p>
      <w:pPr>
        <w:ind w:right="60"/>
        <w:spacing w:after="0" w:line="282" w:lineRule="auto"/>
        <w:rPr>
          <w:sz w:val="20"/>
          <w:szCs w:val="20"/>
          <w:color w:val="auto"/>
        </w:rPr>
      </w:pPr>
      <w:r>
        <w:rPr>
          <w:rFonts w:ascii="Times New Roman" w:cs="Times New Roman" w:eastAsia="Times New Roman" w:hAnsi="Times New Roman"/>
          <w:sz w:val="18"/>
          <w:szCs w:val="18"/>
          <w:color w:val="auto"/>
        </w:rPr>
        <w:t>Massachusetts. In conjunction with these leases, the Company expects to recognize a lease liability and related right-of-use asset as of October 1, 2019 on the Company’s consolidated balance sheet of between $6,800 and $8,300.</w:t>
      </w:r>
    </w:p>
    <w:p>
      <w:pPr>
        <w:spacing w:after="0" w:line="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standard is effective for the Company in the fiscal year beginning October 1, 2020. The Company is currently evaluating the potential impact that ASU 2016-13 may have on its financial position and results of operations.</w:t>
      </w:r>
    </w:p>
    <w:p>
      <w:pPr>
        <w:spacing w:after="0" w:line="7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2017-08, </w:t>
      </w:r>
      <w:r>
        <w:rPr>
          <w:rFonts w:ascii="Times New Roman" w:cs="Times New Roman" w:eastAsia="Times New Roman" w:hAnsi="Times New Roman"/>
          <w:sz w:val="18"/>
          <w:szCs w:val="18"/>
          <w:i w:val="1"/>
          <w:iCs w:val="1"/>
          <w:color w:val="auto"/>
        </w:rPr>
        <w:t>Receivables—Nonrefundable Fees and Other Costs (Subtopic 310-20): Premium Amortization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Purchased Callable Debt Securities </w:t>
      </w:r>
      <w:r>
        <w:rPr>
          <w:rFonts w:ascii="Times New Roman" w:cs="Times New Roman" w:eastAsia="Times New Roman" w:hAnsi="Times New Roman"/>
          <w:sz w:val="18"/>
          <w:szCs w:val="18"/>
          <w:color w:val="auto"/>
        </w:rPr>
        <w:t>(“ASU 2017-08”) which requires companies to amend the amortization period for premiums on debt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explicit call features to be the earliest call date rather than through the contractual life of the debt instrument. This standard aims to more closely align the recognition of interest income with the manner in which market participants price such instruments. This standard is effective for the Company in the fiscal year beginning October 1, 2019. The Company does not expect ASU 2017-08 to have a material impact on its financial position or results of operations.</w:t>
      </w:r>
    </w:p>
    <w:p>
      <w:pPr>
        <w:spacing w:after="0" w:line="7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September 30, 2019 and 2018 and indicate the fair value hierarchy of the valuation inputs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2019 Using:</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4"/>
          </w:tcPr>
          <w:p>
            <w:pPr>
              <w:jc w:val="right"/>
              <w:ind w:right="63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390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215,084</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178,504</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393,588</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1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F-16</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4" w:name="page95"/>
    <w:bookmarkEnd w:id="94"/>
    <w:tbl>
      <w:tblPr>
        <w:tblLayout w:type="fixed"/>
        <w:tblInd w:w="58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10"/>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2018 Using:</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1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Cash equivalents at September 30, 2019 and 2018 consist of money market funds, commercial paper and corporate bonds which are readily convertible to cash and with less than 90 days until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September 30, 2019, 2018, and 2017, there were no transfers between Level 1, Level 2 and Level 3.</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September 30, 2019 and 2018 were measured at fair value. These outstanding shares were financial instruments that might have required a transfer of assets because of the liquidation features in the contract and were therefore recorded as liabilities and measured at fair value. The fair value of the outstanding shares were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liquidation. Changes in the fair values of the Series 1 nonconvertible preferred stock are recognized in other income (expense), net in the consolidated statements of operations.</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56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920" w:type="dxa"/>
            <w:vAlign w:val="bottom"/>
            <w:gridSpan w:val="2"/>
          </w:tcPr>
          <w:p>
            <w:pPr>
              <w:spacing w:after="0"/>
              <w:rPr>
                <w:sz w:val="13"/>
                <w:szCs w:val="13"/>
                <w:color w:val="auto"/>
              </w:rPr>
            </w:pPr>
          </w:p>
        </w:tc>
        <w:tc>
          <w:tcPr>
            <w:tcW w:w="940" w:type="dxa"/>
            <w:vAlign w:val="bottom"/>
            <w:tcBorders>
              <w:top w:val="single" w:sz="8" w:color="auto"/>
            </w:tcBorders>
          </w:tcPr>
          <w:p>
            <w:pPr>
              <w:jc w:val="center"/>
              <w:ind w:left="8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80" w:type="dxa"/>
            <w:vAlign w:val="bottom"/>
            <w:tcBorders>
              <w:top w:val="single" w:sz="8" w:color="auto"/>
            </w:tcBorders>
            <w:gridSpan w:val="3"/>
          </w:tcPr>
          <w:p>
            <w:pPr>
              <w:jc w:val="center"/>
              <w:ind w:left="28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3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1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jc w:val="center"/>
              <w:ind w:left="82"/>
              <w:spacing w:after="0"/>
              <w:rPr>
                <w:sz w:val="20"/>
                <w:szCs w:val="20"/>
                <w:color w:val="auto"/>
              </w:rPr>
            </w:pPr>
            <w:r>
              <w:rPr>
                <w:rFonts w:ascii="Times New Roman" w:cs="Times New Roman" w:eastAsia="Times New Roman" w:hAnsi="Times New Roman"/>
                <w:sz w:val="18"/>
                <w:szCs w:val="18"/>
                <w:color w:val="auto"/>
                <w:w w:val="98"/>
              </w:rPr>
              <w:t>0%-60%</w:t>
            </w:r>
          </w:p>
        </w:tc>
        <w:tc>
          <w:tcPr>
            <w:tcW w:w="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860" w:type="dxa"/>
            <w:vAlign w:val="bottom"/>
            <w:gridSpan w:val="3"/>
            <w:shd w:val="clear" w:color="auto" w:fill="CFF0FC"/>
          </w:tcPr>
          <w:p>
            <w:pPr>
              <w:jc w:val="center"/>
              <w:ind w:left="1990"/>
              <w:spacing w:after="0"/>
              <w:rPr>
                <w:sz w:val="20"/>
                <w:szCs w:val="20"/>
                <w:color w:val="auto"/>
              </w:rPr>
            </w:pPr>
            <w:r>
              <w:rPr>
                <w:rFonts w:ascii="Times New Roman" w:cs="Times New Roman" w:eastAsia="Times New Roman" w:hAnsi="Times New Roman"/>
                <w:sz w:val="18"/>
                <w:szCs w:val="18"/>
                <w:color w:val="auto"/>
                <w:w w:val="98"/>
              </w:rPr>
              <w:t>6.00%</w:t>
            </w:r>
          </w:p>
        </w:tc>
        <w:tc>
          <w:tcPr>
            <w:tcW w:w="1480" w:type="dxa"/>
            <w:vAlign w:val="bottom"/>
            <w:gridSpan w:val="3"/>
            <w:shd w:val="clear" w:color="auto" w:fill="CFF0FC"/>
          </w:tcPr>
          <w:p>
            <w:pPr>
              <w:jc w:val="center"/>
              <w:ind w:left="262"/>
              <w:spacing w:after="0"/>
              <w:rPr>
                <w:sz w:val="20"/>
                <w:szCs w:val="20"/>
                <w:color w:val="auto"/>
              </w:rPr>
            </w:pPr>
            <w:r>
              <w:rPr>
                <w:rFonts w:ascii="Times New Roman" w:cs="Times New Roman" w:eastAsia="Times New Roman" w:hAnsi="Times New Roman"/>
                <w:sz w:val="18"/>
                <w:szCs w:val="18"/>
                <w:color w:val="auto"/>
                <w:w w:val="98"/>
              </w:rPr>
              <w:t>6.25%</w:t>
            </w:r>
          </w:p>
        </w:tc>
        <w:tc>
          <w:tcPr>
            <w:tcW w:w="80" w:type="dxa"/>
            <w:vAlign w:val="bottom"/>
            <w:shd w:val="clear" w:color="auto" w:fill="CFF0FC"/>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F-17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95" w:name="page96"/>
    <w:bookmarkEnd w:id="95"/>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1</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Warrants exercised</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in fair value</w:t>
            </w:r>
          </w:p>
        </w:tc>
        <w:tc>
          <w:tcPr>
            <w:tcW w:w="15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2017</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Warrants exercised</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Warrants expired</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in fair value</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2018</w:t>
            </w:r>
          </w:p>
        </w:tc>
        <w:tc>
          <w:tcPr>
            <w:tcW w:w="1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in fair value</w:t>
            </w:r>
          </w:p>
        </w:tc>
        <w:tc>
          <w:tcPr>
            <w:tcW w:w="15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2019</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2018, the fair value of available-for-sale marketable securities, by type of security, was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348,876</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261,791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2019 and 2018, marketable securities consisted of investments that mature within one year, with the exception of certain corporate bonds and U.S. Treasury notes, which have maturities between one and three years and an aggregate fair value of $65,013 and $16,389,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September 30, 2019 and 2018:</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(9,092)</w:t>
            </w: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including assets acquired under capital leases, was $3,258, $2,518 and $2,137 for the years ended September 30, 2019, 2018, and 2017,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 and Other Long-Term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and other long-term liabilities consisted of the following as of September 30, 2019 and 2018:</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6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manufacturing</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2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6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rent expense</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9040" w:firstLine="8"/>
        <w:spacing w:after="0" w:line="378" w:lineRule="auto"/>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AbbVie Collaboration</w:t>
      </w:r>
    </w:p>
    <w:p>
      <w:pPr>
        <w:spacing w:after="0" w:line="261" w:lineRule="auto"/>
        <w:rPr>
          <w:sz w:val="20"/>
          <w:szCs w:val="20"/>
          <w:color w:val="auto"/>
        </w:rPr>
      </w:pPr>
      <w:r>
        <w:rPr>
          <w:rFonts w:ascii="Times New Roman" w:cs="Times New Roman" w:eastAsia="Times New Roman" w:hAnsi="Times New Roman"/>
          <w:sz w:val="18"/>
          <w:szCs w:val="18"/>
          <w:color w:val="auto"/>
        </w:rPr>
        <w:t>On November 27, 2006, the Company entered into a Collaborative Development and License Agreement (the “AbbVie Agreement”) with Abbott Laboratories to identify, develop and commercialize HCV NS3 and NS3/4A protease inhibitor compounds, including paritaprevir and glecaprevir. The agreement was assigned by Abbott to AbbVie Inc. on January 1, 2013 in connection with Abbott’s transfer of its research-based pharmaceuticals business to AbbVie.</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657" w:right="399" w:bottom="1440" w:gutter="0" w:footer="0" w:header="0"/>
        </w:sectPr>
      </w:pPr>
    </w:p>
    <w:bookmarkStart w:id="97" w:name="page98"/>
    <w:bookmarkEnd w:id="97"/>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terms of the AbbVie Agreement, as amended, AbbVie paid the Company upfront license payments and full-time equivalent (“FTE”) reimbursements to fund research activities. The Company is also eligible to receive milestone payments for the successful development by AbbVie of one or more HCV compounds, as well as annually tiered, per-product royalties on the portion of AbbVie’s net sales of its HCV treatment regimens allocated to the protease inhibitor product.</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determined that the deliverables under the AbbVie Agreement included (i) the non-exclusive, royalty-free, worldwide research license and the exclusive, royalty-bearing development and commercialization license, (ii) the research services, and (iii) a commitment to participate on a steering committee, all of which were to be delivered over a three-year period. The Company concluded that the license did not have standalone value as it was dependent, in part, upon the Company’s continuing involvement in the HCV protease inhibitor research and its involvement in the joint steering committee. Additionally, the undelivered items, including the Company’s participation in the joint steering committee, which was considered participatory due to its decision making responsibilities, and the research services, did not have vendor-specific objective evidence (“VSOE”) or vendor objective evidence (“VOE”) of fair value. Therefore, the license, the research services, and the joint steering committee participation were treated as a single unit of accounting. Accordingly, all amounts received were deferred, and revenue was recognized using the proportional performance model over the period during which the Company performed research services in connection with the AbbVie Agreement, as amended.</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Subsequent to the research and evaluation period, which ended in June 2011, all decisions related to the development, commercialization and marketing have been made by AbbVie. The Company has the right to continue to attend the joint steering committee meetings to monitor the development and marketing plans; however, the Company has no decision-making rights. As such, the joint steering committee commitment became protective in nature as of June 16, 2011.</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years ended September 30, 2018 and 2017, the Company recognized $15,000 and $65,000, respectively, in milestone payments under the AbbVie Agreement as a result of AbbVie’s commercialization regulatory approvals. From commencement of the collaboration through September 30, 2019 the Company has received an upfront license payment, research funding, milestone payments, and preferred stock financing totaling $396,000 under the AbbVie agreement. Since the Company completed all its performance obligations under the AbbVie Agreement by the end of fiscal 2011, any milestone payments earned since then have been recognized as revenue when the associated milestone was achieved by AbbVie.</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also receiving annually tiered royalties per Company protease product ranging from ten percent up to twenty percent, or on a blended basis from the low double digits up to the high teens, on the portion of AbbVie’s calendar year net sales of each HCV regimen that is allocated to the protease inhibitor product in the regimen. Beginning with each January 1, the cumulative net sales of a given royalty-bearing protease inhibitor product start at zero for purposes of calculating the tiered royalties on a product-by-product basis. The following table details the royalty tiers associated with cumulative calendar year net sales allocated to each royalty-bearing product as provided in the AbbVie Agreement:</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6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Calendar Year Net Sales</w:t>
            </w:r>
          </w:p>
        </w:tc>
        <w:tc>
          <w:tcPr>
            <w:tcW w:w="338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Royalty Tier</w:t>
            </w:r>
          </w:p>
        </w:tc>
      </w:tr>
      <w:tr>
        <w:trPr>
          <w:trHeight w:val="164"/>
        </w:trPr>
        <w:tc>
          <w:tcPr>
            <w:tcW w:w="428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to $500,000</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r>
      <w:tr>
        <w:trPr>
          <w:trHeight w:val="243"/>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$500,000 up to $750,000</w:t>
            </w:r>
          </w:p>
        </w:tc>
        <w:tc>
          <w:tcPr>
            <w:tcW w:w="3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21"/>
                <w:szCs w:val="21"/>
                <w:color w:val="auto"/>
              </w:rPr>
            </w:pPr>
          </w:p>
        </w:tc>
      </w:tr>
      <w:tr>
        <w:trPr>
          <w:trHeight w:val="24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$750,000 up to $1,000,000</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r>
      <w:tr>
        <w:trPr>
          <w:trHeight w:val="243"/>
        </w:trPr>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$1,000,000 up to $2,500,000</w:t>
            </w:r>
          </w:p>
        </w:tc>
        <w:tc>
          <w:tcPr>
            <w:tcW w:w="3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r>
      <w:tr>
        <w:trPr>
          <w:trHeight w:val="24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or equal to $2,500,000</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r>
    </w:tbl>
    <w:p>
      <w:pPr>
        <w:spacing w:after="0" w:line="3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98" w:name="page99"/>
    <w:bookmarkEnd w:id="98"/>
    <w:p>
      <w:pPr>
        <w:spacing w:after="0" w:line="266" w:lineRule="auto"/>
        <w:rPr>
          <w:sz w:val="20"/>
          <w:szCs w:val="20"/>
          <w:color w:val="auto"/>
        </w:rPr>
      </w:pPr>
      <w:r>
        <w:rPr>
          <w:rFonts w:ascii="Times New Roman" w:cs="Times New Roman" w:eastAsia="Times New Roman" w:hAnsi="Times New Roman"/>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68"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4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 shares of common stock at a par value of $0.01. Each share of common stock entitles the holder to one vote on all matters submitted to a vote of the Company’s stockholders. Common stockholders are entitled to receive such dividends as may be declared by the board of directors, if 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Series 1 Nonconvertible Preferred Stock and Warrants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 As these shares qualify as a derivative, they are classified as a liability on the Company’s consolidated balance sheet.</w:t>
      </w:r>
    </w:p>
    <w:p>
      <w:pPr>
        <w:spacing w:after="0" w:line="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October and November 2010, a total of 2,000 warrants to purchase Series 1 nonconvertible preferred stock were issued. The warrants had an expiration date of October 4, 2017 and any warrants exercised by that date were converted into Series 1 nonconvertible preferred stock. A total of 1,930 shares of Series 1 nonconvertible preferred stock were outstanding as of September 30, 2019 and 2018. For the years ended September 30, 2019, 2018, and 2017, the remeasurement of the then outstanding warrants and Series 1 nonconvertible preferred stock resulted in expense of $0, ($59), and $(159), which was recorded in other income (expense), net in the consolidated statements. The total fair value of the Series 1 nonconvertible preferred stock was $1,628 as of September 30, 2019 and 2018.</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10. Stock-Based Awards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2019 Equity Incentive Plan (the “2019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2019 Plan is subject to increase by the number of shares forfeited under any options forfeited and not exercised under the 2019 Plan or any predecessor plans such as the 2012 Equity Incentive Plan or the 1995 Equity Incentive Plan. As of September 30, 2019, 1,879 shares remained available for future awards under the 2019 Plan.</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2019 Plan replaces and is the successor to the 2012 Equity Incentive Plan (the “2012 Plan”) and the 1995 Equity Incentive Plan (the “1995 Plan”). The 2012 and 1995 Plans provided for the Company to sell or issue awards of common stock or restricted common stock, or to grant awards of incentive stock options or nonqualified stock options for the purchase of common stock, to employees, members of the board of directors and consultants of the Company. Sales, issuances or grants of shares entitle the holder to purchase common stock from the Company, for a specified exercise price, during a period specified by the applicable equity award agreement. Upon the closing of the Company’s initial public offering, all remaining shares reserved for issuance under the 1995 Plan were transferred to the 2012 Plan and no further awards were made under the 1995 Plan. Upon the approval of the 2019 Plan by the Company’s shareholders in February 2019, all remaining shares reserved for issuance under the 2012 Plan were transferred to the 2019 Plan and no further awards have been made under the 2012 Plan.</w:t>
      </w:r>
    </w:p>
    <w:p>
      <w:pPr>
        <w:spacing w:after="0" w:line="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Under the Company’s Employee Stock Purchase Plan (“ESPP”) a total of 186 shares of common stock are reserved for issuance. As of September 30, 2019, the Company had not commenced any offering under the ESPP and no ESPP shares have been issued.</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applies the fair value recognition provisions for all stock-based awards granted or modified. In the case of service-based awards, the compensation cost is recorded over the requisite service period of the award on the straight-line method based on the grant-date fair value. The requisite service period for service-based option awards is generally four years. Options granted under the 2019 Plan to employees generally vest over four years and to non-employee directors over one year, and expire after ten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award is determined on the date of grant using the Black-Scholes option-pricing model. During the years ended September 30, 2018 and 2017, the Company estimated expected volatility based on a combination of the Company’s historical stock volatility since its March 2013 IPO and the historical volatility of publicly traded peer companies. During the year ended September 30, 2019, the Company began utilizing the volatility of the Company’s traded stock price following our March 2013 IPO to estimate expected volatility.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zero on the fact that the Company has never paid cash dividends and does not expect to pay any cash dividends in the foreseeable future. As required under our equity plans, the exercise price for awards granted is not to be less than the fair value of common shares as estimated by the Company as of the date of grant. The relevant data used to determine the value of the stock option awards are as follows, presented on a weighted average basis:</w:t>
      </w:r>
    </w:p>
    <w:p>
      <w:pPr>
        <w:spacing w:after="0" w:line="27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522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spacing w:after="0"/>
              <w:rPr>
                <w:sz w:val="20"/>
                <w:szCs w:val="20"/>
                <w:color w:val="auto"/>
              </w:rPr>
            </w:pPr>
          </w:p>
        </w:tc>
      </w:tr>
      <w:tr>
        <w:trPr>
          <w:trHeight w:val="643"/>
        </w:trPr>
        <w:tc>
          <w:tcPr>
            <w:tcW w:w="1160" w:type="dxa"/>
            <w:vAlign w:val="bottom"/>
          </w:tcPr>
          <w:p>
            <w:pPr>
              <w:spacing w:after="0"/>
              <w:rPr>
                <w:sz w:val="24"/>
                <w:szCs w:val="24"/>
                <w:color w:val="auto"/>
              </w:rPr>
            </w:pPr>
          </w:p>
        </w:tc>
        <w:tc>
          <w:tcPr>
            <w:tcW w:w="5900" w:type="dxa"/>
            <w:vAlign w:val="bottom"/>
            <w:gridSpan w:val="2"/>
          </w:tcPr>
          <w:p>
            <w:pPr>
              <w:ind w:left="4380"/>
              <w:spacing w:after="0"/>
              <w:rPr>
                <w:sz w:val="20"/>
                <w:szCs w:val="20"/>
                <w:color w:val="auto"/>
              </w:rPr>
            </w:pPr>
            <w:r>
              <w:rPr>
                <w:rFonts w:ascii="Times New Roman" w:cs="Times New Roman" w:eastAsia="Times New Roman" w:hAnsi="Times New Roman"/>
                <w:sz w:val="18"/>
                <w:szCs w:val="18"/>
                <w:color w:val="auto"/>
              </w:rPr>
              <w:t>F-22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aggregate intrinsic value for the year ended September 30, 2019:</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as of September 30, 2019</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September 30, 2019</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4"/>
                <w:szCs w:val="14"/>
                <w:color w:val="auto"/>
              </w:rPr>
            </w:pPr>
          </w:p>
        </w:tc>
      </w:tr>
      <w:tr>
        <w:trPr>
          <w:trHeight w:val="164"/>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 of stock options exercised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14,180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0"/>
                <w:szCs w:val="20"/>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to Company from stock options exercised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6,243</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Options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2013, the Company granted to certain executives options to purchase 167 shares that would vest upon the achievement of certain performance-based targets. The aggregate grant date fair value of these options was $2,479. During the year ended September 30, 2017, certain performance-based targets were achieved and the Company recorded stock-based compensation expense of $413 related to achievement of those targets. No stock-based compensation expense related to these options was recognized during the years ended September 30, 2019 and 2018 as the performance period for these options ended during the year ended September 30, 2017.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PSUs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2 years.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rTSRUs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two specified periods that are two years apart, based on a comparison of average closing stock prices in specified periods noted in the award agreement. The number of market-based rTSRUs awarded represents the target number of shares of common stock that may be earned; however, the actual number of shares that may be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1" w:name="page102"/>
    <w:bookmarkEnd w:id="101"/>
    <w:p>
      <w:pPr>
        <w:spacing w:after="0" w:line="261" w:lineRule="auto"/>
        <w:rPr>
          <w:sz w:val="20"/>
          <w:szCs w:val="20"/>
          <w:color w:val="auto"/>
        </w:rPr>
      </w:pPr>
      <w:r>
        <w:rPr>
          <w:rFonts w:ascii="Times New Roman" w:cs="Times New Roman" w:eastAsia="Times New Roman" w:hAnsi="Times New Roman"/>
          <w:sz w:val="18"/>
          <w:szCs w:val="18"/>
          <w:color w:val="auto"/>
        </w:rPr>
        <w:t>earned ranges from 0% to 150% or 200% of the target number, depending on the award agreement and the year of the award. The Company used a Monte Carlo model to estimate the grant-date fair value of the rTSRUs. 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87"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59055</wp:posOffset>
            </wp:positionV>
            <wp:extent cx="23583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76" w:lineRule="exact"/>
        <w:rPr>
          <w:sz w:val="20"/>
          <w:szCs w:val="20"/>
          <w:color w:val="auto"/>
        </w:rPr>
      </w:pPr>
    </w:p>
    <w:p>
      <w:pPr>
        <w:ind w:left="6760"/>
        <w:spacing w:after="0"/>
        <w:tabs>
          <w:tab w:leader="none" w:pos="8080" w:val="left"/>
          <w:tab w:leader="none" w:pos="94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579755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Dividend yield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Remaining performance period (years)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8"/>
              </w:rPr>
              <w:t>2.65%</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62%</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5"/>
              </w:rPr>
              <w:t>2.03</w:t>
            </w: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1.83</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-307975</wp:posOffset>
            </wp:positionV>
            <wp:extent cx="579755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380" w:space="720"/>
            <w:col w:w="4280"/>
          </w:cols>
          <w:pgMar w:left="240" w:top="553"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 summarizes PSU and rTSRU activity (at target) for the year ended September 30, 2019:</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PSUs</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center"/>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2018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2019</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total of 80% of target PSUs and 192.91% of target rTSRUs granted in December 2015 vested during the year ended September 30, 2018, resulting in the issuance of an aggregate of 68 common shares, net of share withholding for income taxes. A total of 80% of target PSUs and 200% of target rTSRUs granted in January 2017 vested during the year ended September 30, 2019, resulting in the issuance of an aggregate of 125 common shares, net of share withholding for income taxes.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2016, the Company awarded restricted stock units to its employees, which vest as to 50% of the units on the third anniversary of the award and 50% on the fourth anniversary of the award, provided the employee remains employed with the Company at the time of vesting. The fair value of these awards was determined based on the fair value of the stock on the date of grant and is recognized as stock-based compensation expense over the requisite service period. The following table summarizes the restricted stock unit activity for the year to date period ending September 30, 2019:</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2018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September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stock-based compensation expense for the years ended September 30, 2019, 2018, and 2017:</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4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12,694</w:t>
            </w:r>
          </w:p>
        </w:tc>
        <w:tc>
          <w:tcPr>
            <w:tcW w:w="4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rTSRUs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an aggregate of $38,298 of unrecognized stock-based compensation cost, which is expected to be recognized over a weighted average period of 2.5 years.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65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common share was calculated as follows for the years ended September 30, 2019, 2018, and 2017:</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700" w:type="dxa"/>
            <w:vAlign w:val="bottom"/>
            <w:gridSpan w:val="7"/>
          </w:tcPr>
          <w:p>
            <w:pPr>
              <w:jc w:val="center"/>
              <w:ind w:left="7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46,383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4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19,584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Net income per share common share — basic</w:t>
            </w: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FF0FC"/>
            </w:tcBorders>
            <w:vMerge w:val="continue"/>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46,383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71,956</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19,584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4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4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20,968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Net income per share common share — diluted</w:t>
            </w: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FF0FC"/>
            </w:tcBorders>
            <w:vMerge w:val="continue"/>
          </w:tcPr>
          <w:p>
            <w:pPr>
              <w:spacing w:after="0"/>
              <w:rPr>
                <w:sz w:val="21"/>
                <w:szCs w:val="21"/>
                <w:color w:val="auto"/>
              </w:rPr>
            </w:pPr>
          </w:p>
        </w:tc>
        <w:tc>
          <w:tcPr>
            <w:tcW w:w="480" w:type="dxa"/>
            <w:vAlign w:val="bottom"/>
            <w:tcBorders>
              <w:bottom w:val="single" w:sz="8" w:color="CFF0FC"/>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Anti-dilutive common stock equivalents excluded from above</w:t>
            </w:r>
          </w:p>
        </w:tc>
        <w:tc>
          <w:tcPr>
            <w:tcW w:w="4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impact of certain common stock equivalents were excluded from the computation of diluted net income per common share attributable to common stockholders for the years ended September 30, 2019, 2018, and 2017, because those options had an anti-dilutive impact due to the assumed proceeds per share using the treasury stock method being greater than the average fair value of the Company’s common shares for those periods.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September 30, 2019, 2018, and 2017, the Company excluded unvested performance stock unit awards from the calculation of diluted net income per common share as these awards contain performance conditions that would not have been achieved as of the end of each reporting period had the measurement period ended as of that date.</w:t>
      </w:r>
    </w:p>
    <w:p>
      <w:pPr>
        <w:spacing w:after="0" w:line="280" w:lineRule="exact"/>
        <w:rPr>
          <w:sz w:val="20"/>
          <w:szCs w:val="20"/>
          <w:color w:val="auto"/>
        </w:rPr>
      </w:pPr>
    </w:p>
    <w:p>
      <w:pPr>
        <w:ind w:right="8520" w:firstLine="8"/>
        <w:spacing w:after="0" w:line="378" w:lineRule="auto"/>
        <w:tabs>
          <w:tab w:leader="none" w:pos="27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spacing w:after="0" w:line="258" w:lineRule="auto"/>
        <w:rPr>
          <w:sz w:val="20"/>
          <w:szCs w:val="20"/>
          <w:color w:val="auto"/>
        </w:rPr>
      </w:pPr>
      <w:r>
        <w:rPr>
          <w:rFonts w:ascii="Times New Roman" w:cs="Times New Roman" w:eastAsia="Times New Roman" w:hAnsi="Times New Roman"/>
          <w:sz w:val="18"/>
          <w:szCs w:val="18"/>
          <w:color w:val="auto"/>
        </w:rPr>
        <w:t>The Company has two leases located in Watertown, Massachusetts. The first lease, for office and laboratory space at 500 Arsenal Street, was effective from fiscal 2011 to 2018. During the year ended September 30, 2015, the Company amended the lease to expand the rented space and extend the lease term through September 2022. Payment escalations specified in the lease agreement, as amended, are accrued such that rent expense is recognized on a straight-line basis over the term of occupancy. The amended lease also included a $598 tenant improvement allowance from the landlord, which was accounted for as a capital lease obligation.</w:t>
      </w:r>
    </w:p>
    <w:p>
      <w:pPr>
        <w:spacing w:after="0" w:line="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500 Arsenal Street lease, the Company has an outstanding letter of credit in the amount of $608 as of September 30, 2019 and 2018, collateralized by a money market account. As of September 30, 2019 and 2018, the Company classified the money market account as long-term restricted cash.</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was effective September 2018 with a lease term that extends through August 2024. The lease includes a rent-free period and lease incentives as well as escalating</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104" w:name="page105"/>
    <w:bookmarkEnd w:id="104"/>
    <w:p>
      <w:pPr>
        <w:ind w:right="120"/>
        <w:spacing w:after="0" w:line="282" w:lineRule="auto"/>
        <w:rPr>
          <w:sz w:val="20"/>
          <w:szCs w:val="20"/>
          <w:color w:val="auto"/>
        </w:rPr>
      </w:pPr>
      <w:r>
        <w:rPr>
          <w:rFonts w:ascii="Times New Roman" w:cs="Times New Roman" w:eastAsia="Times New Roman" w:hAnsi="Times New Roman"/>
          <w:sz w:val="18"/>
          <w:szCs w:val="18"/>
          <w:color w:val="auto"/>
        </w:rPr>
        <w:t>rent payments over the course of the lease. The net amount of these escalations, incentives and rent-free period were accrued and recognized as rent expense on a straight-line basis over the term of occupancy.</w:t>
      </w:r>
    </w:p>
    <w:p>
      <w:pPr>
        <w:spacing w:after="0" w:line="5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2019, 2018, and 2017, the Company recognized rent expense of $2,492, $2,033, and $2,025, respectively, in the consolidated statements of operations, related to these facility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under both leases as of September 30, 2019 are as follows: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r>
      <w:tr>
        <w:trPr>
          <w:trHeight w:val="198"/>
        </w:trPr>
        <w:tc>
          <w:tcPr>
            <w:tcW w:w="7020" w:type="dxa"/>
            <w:vAlign w:val="bottom"/>
            <w:gridSpan w:val="4"/>
          </w:tcPr>
          <w:p>
            <w:pPr>
              <w:ind w:left="1140"/>
              <w:spacing w:after="0" w:line="198" w:lineRule="exact"/>
              <w:rPr>
                <w:sz w:val="20"/>
                <w:szCs w:val="20"/>
                <w:color w:val="auto"/>
              </w:rPr>
            </w:pPr>
            <w:r>
              <w:rPr>
                <w:rFonts w:ascii="Times New Roman" w:cs="Times New Roman" w:eastAsia="Times New Roman" w:hAnsi="Times New Roman"/>
                <w:sz w:val="18"/>
                <w:szCs w:val="18"/>
                <w:b w:val="1"/>
                <w:bCs w:val="1"/>
                <w:color w:val="auto"/>
              </w:rPr>
              <w:t>Years Ended September 30,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Leases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rPr>
              <w:t>Leases</w:t>
            </w:r>
          </w:p>
        </w:tc>
      </w:tr>
      <w:tr>
        <w:trPr>
          <w:trHeight w:val="21"/>
        </w:trPr>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3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3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3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2012 the Company entered into a non-exclusive intellectual property license agreement with a licensor of research technology under which the Company was required to pay the third party licensor an upfront license fee and additional fees up to the third anniversary of the agreement. In addition, the Company was required to pay annual maintenance fees for each year that the agreement remained in effect. During the year ended September 30, 2017 the Company paid $115 under the agreement. The license agreement was terminated during the year ended September 30,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has not accrued any liabilities related to such obligations in its financial statements as of September 30, 2019 and 2018.</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for all periods presented is from domestic operations, which are the Company’s only operations.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2018, and 2017, the Company recorded income tax benefit (expense) as follows:</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benefit (expense):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5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(16,449)</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(10,078)</w:t>
            </w: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(2,858)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960" w:type="dxa"/>
            <w:vAlign w:val="bottom"/>
            <w:gridSpan w:val="9"/>
          </w:tcPr>
          <w:p>
            <w:pPr>
              <w:ind w:left="10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160" w:type="dxa"/>
            <w:vAlign w:val="bottom"/>
          </w:tcPr>
          <w:p>
            <w:pPr>
              <w:spacing w:after="0"/>
              <w:rPr>
                <w:sz w:val="5"/>
                <w:szCs w:val="5"/>
                <w:color w:val="auto"/>
              </w:rPr>
            </w:pPr>
          </w:p>
        </w:tc>
        <w:tc>
          <w:tcPr>
            <w:tcW w:w="518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1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4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1340" w:type="dxa"/>
            <w:vAlign w:val="bottom"/>
            <w:gridSpan w:val="5"/>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 research and development tax credit</w:t>
            </w:r>
          </w:p>
        </w:tc>
        <w:tc>
          <w:tcPr>
            <w:tcW w:w="140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net deferred tax assets</w:t>
            </w:r>
          </w:p>
        </w:tc>
        <w:tc>
          <w:tcPr>
            <w:tcW w:w="14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(6.7)</w:t>
            </w: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4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gridSpan w:val="2"/>
            <w:vMerge w:val="continue"/>
          </w:tcPr>
          <w:p>
            <w:pPr>
              <w:spacing w:after="0"/>
              <w:rPr>
                <w:sz w:val="19"/>
                <w:szCs w:val="19"/>
                <w:color w:val="auto"/>
              </w:rPr>
            </w:pPr>
          </w:p>
        </w:tc>
        <w:tc>
          <w:tcPr>
            <w:tcW w:w="1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 as of September 30, 2019 and 2018 consisted of the following:</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3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3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7,372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loss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5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Unrealized gain</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1060" w:type="dxa"/>
            <w:vAlign w:val="bottom"/>
            <w:tcBorders>
              <w:bottom w:val="single" w:sz="8" w:color="CFF0FC"/>
            </w:tcBorders>
            <w:gridSpan w:val="2"/>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11,341</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8,375</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F-28</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The net deferred tax asset is presented as a long-term asset on the consolidated balance sheets.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consideration of all the evidence, both positive and negative, the Company determined that no valuation allowance was needed for all or a portion of its deferred tax assets as of September 30, 2019 because it is more likely than not that the deferred tax assets will be realized. In subsequent periods, the Company may determine that it is more likely than not that the deferred tax assets will not be realized, and thus a valuation allowance may be recorded against all or any portion of its deferred tax assets on the Company’s consolidated balance sheet with a corresponding non-cash charge to income tax expense in the consolidated statements of operations.</w:t>
      </w:r>
    </w:p>
    <w:p>
      <w:pPr>
        <w:spacing w:after="0" w:line="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a federal and state research and development tax credit carryforward of $635 and $310, respectively, for tax return purposes, a majority of which begin to expire in 2039.</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in the U.S. are still open under statute from 2015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 in September 2018, the amount of which was immaterial to the financial statements. The Company is in the process of finalizing the completion of the IRS audit. During October 2018, the Company received notice of examination by the Massachusetts Department of Revenue (“DOR”) for the years ending September 30, 2015 and September 30, 2016. No adjustments have been agreed to date. The Company has not received notice of examination by any other jurisdictions for any other tax year open under statute.</w:t>
      </w:r>
    </w:p>
    <w:p>
      <w:pPr>
        <w:spacing w:after="0" w:line="7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Uncertain tax positions represent tax positions for which reserves have been established. The Company’s policy is to record interest and penalties related to uncertain tax positions as part of income tax expense. Total interest related to uncertain tax positions recorded as a liability on the Company’s consolidated balance sheets were $244 and $113 as of September 30, 2019 and 2018, respectively. A reconciliation of the beginning and ending amount of uncertain tax positions is summarized as follows: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4"/>
          </w:tcPr>
          <w:p>
            <w:pPr>
              <w:jc w:val="right"/>
              <w:ind w:right="5"/>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680" w:type="dxa"/>
            <w:vAlign w:val="bottom"/>
            <w:gridSpan w:val="2"/>
            <w:vMerge w:val="continue"/>
          </w:tcPr>
          <w:p>
            <w:pPr>
              <w:spacing w:after="0"/>
              <w:rPr>
                <w:sz w:val="20"/>
                <w:szCs w:val="20"/>
                <w:color w:val="auto"/>
              </w:rPr>
            </w:pPr>
          </w:p>
        </w:tc>
        <w:tc>
          <w:tcPr>
            <w:tcW w:w="1520" w:type="dxa"/>
            <w:vAlign w:val="bottom"/>
            <w:gridSpan w:val="2"/>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1,679</w:t>
            </w:r>
          </w:p>
        </w:tc>
        <w:tc>
          <w:tcPr>
            <w:tcW w:w="220" w:type="dxa"/>
            <w:vAlign w:val="bottom"/>
          </w:tcPr>
          <w:p>
            <w:pPr>
              <w:spacing w:after="0"/>
              <w:rPr>
                <w:sz w:val="20"/>
                <w:szCs w:val="20"/>
                <w:color w:val="auto"/>
              </w:rPr>
            </w:pPr>
          </w:p>
        </w:tc>
        <w:tc>
          <w:tcPr>
            <w:tcW w:w="380" w:type="dxa"/>
            <w:vAlign w:val="bottom"/>
            <w:gridSpan w:val="2"/>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Additions based on tax positions for the current period</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Reductions for tax positions due to lapse of statute of limitations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7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that its uncertain tax position will materially change within the next twelve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401(k) Plan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a 401(k) plan. This plan covers substantially all employees who meet minimum age and service requirements. During the years ended September 30, 2019, 2018, and 2017, the Company recognized $1,068, $852 and $712, respectively, of expense related to its contributions to this plan.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15. Selected Quarterly Financial Data (unaudited)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financial information for fiscal 2019 and 2018 is presented in the following table:</w:t>
      </w:r>
    </w:p>
    <w:p>
      <w:pPr>
        <w:spacing w:after="0" w:line="313"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 Quarter Ended</w:t>
            </w: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20" w:type="dxa"/>
            <w:vAlign w:val="bottom"/>
          </w:tcPr>
          <w:p>
            <w:pPr>
              <w:spacing w:after="0"/>
              <w:rPr>
                <w:sz w:val="13"/>
                <w:szCs w:val="13"/>
                <w:color w:val="auto"/>
              </w:rPr>
            </w:pPr>
          </w:p>
        </w:tc>
        <w:tc>
          <w:tcPr>
            <w:tcW w:w="130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24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June 30, 2019</w:t>
            </w:r>
          </w:p>
        </w:tc>
        <w:tc>
          <w:tcPr>
            <w:tcW w:w="13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0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69,886</w:t>
            </w:r>
          </w:p>
        </w:tc>
        <w:tc>
          <w:tcPr>
            <w:tcW w:w="40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39,631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44,367</w:t>
            </w:r>
          </w:p>
        </w:tc>
        <w:tc>
          <w:tcPr>
            <w:tcW w:w="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51,313</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42,030</w:t>
            </w:r>
          </w:p>
        </w:tc>
        <w:tc>
          <w:tcPr>
            <w:tcW w:w="4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40,935</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40,612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44,882</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1,885</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2,245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2,415</w:t>
            </w: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4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3,204</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26,011</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4,145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7,036</w:t>
            </w: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 basic</w:t>
            </w:r>
            <w:r>
              <w:rPr>
                <w:rFonts w:ascii="Times New Roman" w:cs="Times New Roman" w:eastAsia="Times New Roman" w:hAnsi="Times New Roman"/>
                <w:sz w:val="15"/>
                <w:szCs w:val="15"/>
                <w:color w:val="auto"/>
              </w:rPr>
              <w:t>(2)</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0.36</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 — diluted</w:t>
            </w:r>
            <w:r>
              <w:rPr>
                <w:rFonts w:ascii="Times New Roman" w:cs="Times New Roman" w:eastAsia="Times New Roman" w:hAnsi="Times New Roman"/>
                <w:sz w:val="15"/>
                <w:szCs w:val="15"/>
                <w:color w:val="auto"/>
              </w:rPr>
              <w:t>(2)</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FF0FC"/>
          </w:tcPr>
          <w:p>
            <w:pPr>
              <w:spacing w:after="0"/>
              <w:rPr>
                <w:sz w:val="19"/>
                <w:szCs w:val="19"/>
                <w:color w:val="auto"/>
              </w:rPr>
            </w:pPr>
          </w:p>
        </w:tc>
      </w:tr>
    </w:tbl>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 Quarter Ended</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126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280" w:type="dxa"/>
            <w:vAlign w:val="bottom"/>
            <w:tcBorders>
              <w:bottom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Pr>
          <w:p>
            <w:pPr>
              <w:spacing w:after="0"/>
              <w:rPr>
                <w:sz w:val="13"/>
                <w:szCs w:val="13"/>
                <w:color w:val="auto"/>
              </w:rPr>
            </w:pPr>
          </w:p>
        </w:tc>
      </w:tr>
      <w:tr>
        <w:trPr>
          <w:trHeight w:val="156"/>
        </w:trPr>
        <w:tc>
          <w:tcPr>
            <w:tcW w:w="4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20" w:type="dxa"/>
            <w:vAlign w:val="bottom"/>
            <w:gridSpan w:val="4"/>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15"/>
                <w:szCs w:val="15"/>
                <w:color w:val="auto"/>
              </w:rPr>
              <w:t>(1)</w:t>
            </w:r>
          </w:p>
        </w:tc>
        <w:tc>
          <w:tcPr>
            <w:tcW w:w="13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38,109</w:t>
            </w:r>
          </w:p>
        </w:tc>
        <w:tc>
          <w:tcPr>
            <w:tcW w:w="3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44,049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57,262</w:t>
            </w:r>
          </w:p>
        </w:tc>
        <w:tc>
          <w:tcPr>
            <w:tcW w:w="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67,205</w:t>
            </w: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23,732</w:t>
            </w:r>
          </w:p>
        </w:tc>
        <w:tc>
          <w:tcPr>
            <w:tcW w:w="380" w:type="dxa"/>
            <w:vAlign w:val="bottom"/>
          </w:tcPr>
          <w:p>
            <w:pPr>
              <w:spacing w:after="0"/>
              <w:rPr>
                <w:sz w:val="19"/>
                <w:szCs w:val="19"/>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27,190</w:t>
            </w:r>
          </w:p>
        </w:tc>
        <w:tc>
          <w:tcPr>
            <w:tcW w:w="16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34,622</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10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960</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1,066</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1,338</w:t>
            </w: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4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(8,461)</w:t>
            </w: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11,693</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12,555</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20,288</w:t>
            </w: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27,420</w:t>
            </w: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 basic</w:t>
            </w:r>
            <w:r>
              <w:rPr>
                <w:rFonts w:ascii="Times New Roman" w:cs="Times New Roman" w:eastAsia="Times New Roman" w:hAnsi="Times New Roman"/>
                <w:sz w:val="15"/>
                <w:szCs w:val="15"/>
                <w:color w:val="auto"/>
              </w:rPr>
              <w:t>(2)</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0.61</w:t>
            </w:r>
          </w:p>
        </w:tc>
        <w:tc>
          <w:tcPr>
            <w:tcW w:w="3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 — diluted</w:t>
            </w:r>
            <w:r>
              <w:rPr>
                <w:rFonts w:ascii="Times New Roman" w:cs="Times New Roman" w:eastAsia="Times New Roman" w:hAnsi="Times New Roman"/>
                <w:sz w:val="15"/>
                <w:szCs w:val="15"/>
                <w:color w:val="auto"/>
              </w:rPr>
              <w:t>(2)</w:t>
            </w:r>
          </w:p>
        </w:tc>
        <w:tc>
          <w:tcPr>
            <w:tcW w:w="13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0.59</w:t>
            </w:r>
          </w:p>
        </w:tc>
        <w:tc>
          <w:tcPr>
            <w:tcW w:w="3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0.97</w:t>
            </w:r>
          </w:p>
        </w:tc>
        <w:tc>
          <w:tcPr>
            <w:tcW w:w="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9"/>
                <w:szCs w:val="19"/>
                <w:color w:val="auto"/>
              </w:rPr>
            </w:pPr>
          </w:p>
        </w:tc>
      </w:tr>
    </w:tbl>
    <w:p>
      <w:pPr>
        <w:spacing w:after="0" w:line="130" w:lineRule="exact"/>
        <w:rPr>
          <w:sz w:val="20"/>
          <w:szCs w:val="20"/>
          <w:color w:val="auto"/>
        </w:rPr>
      </w:pPr>
    </w:p>
    <w:p>
      <w:pPr>
        <w:ind w:left="600" w:right="80" w:hanging="592"/>
        <w:spacing w:after="0" w:line="261" w:lineRule="auto"/>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2018, the Company recognized $15,000 in milestone revenue from AbbVie upon achievement of commercialization regulatory approval of AbbVie’s glecaprevir-containing regimen in Japan.</w:t>
      </w:r>
    </w:p>
    <w:p>
      <w:pPr>
        <w:ind w:left="600" w:hanging="592"/>
        <w:spacing w:after="0"/>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per share amounts for each quarter may not sum to the fiscal year amounts due to rounding and the effect of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9004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940"/>
          </w:cols>
          <w:pgMar w:left="240" w:top="657" w:right="719" w:bottom="1440" w:gutter="0" w:footer="0" w:header="0"/>
        </w:sectPr>
      </w:pPr>
    </w:p>
    <w:bookmarkStart w:id="108" w:name="page109"/>
    <w:bookmarkEnd w:id="108"/>
    <w:p>
      <w:pPr>
        <w:ind w:left="10420"/>
        <w:spacing w:after="0"/>
        <w:rPr>
          <w:sz w:val="20"/>
          <w:szCs w:val="20"/>
          <w:color w:val="auto"/>
        </w:rPr>
      </w:pPr>
      <w:r>
        <w:rPr>
          <w:rFonts w:ascii="Times New Roman" w:cs="Times New Roman" w:eastAsia="Times New Roman" w:hAnsi="Times New Roman"/>
          <w:sz w:val="21"/>
          <w:szCs w:val="21"/>
          <w:b w:val="1"/>
          <w:bCs w:val="1"/>
          <w:color w:val="auto"/>
        </w:rPr>
        <w:t>Exhibit 4.3</w:t>
      </w:r>
    </w:p>
    <w:p>
      <w:pPr>
        <w:spacing w:after="0" w:line="3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EXCHANGE ACT OF 1934</w:t>
      </w:r>
    </w:p>
    <w:p>
      <w:pPr>
        <w:spacing w:after="0" w:line="182" w:lineRule="exact"/>
        <w:rPr>
          <w:sz w:val="20"/>
          <w:szCs w:val="20"/>
          <w:color w:val="auto"/>
        </w:rPr>
      </w:pPr>
    </w:p>
    <w:p>
      <w:pPr>
        <w:ind w:right="200" w:firstLine="549"/>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our common stock and a summary of our preferred stock. You should refer to our Restated Certificate of Incorporation (the “Certificate of Incorporation”) and our Amended and Restated Bylaws (the “Bylaws”), each of which is filed as an exhibit to our Annual Report on Form 10-K for the year ended September 30,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81"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100,000,000 shares of common stock, par value $0.01 per share, and 4,999,989 shares of preferred stock, par value $0.01 per share, of which 1,999,989 shares are designated Series 1 Nonconvertible Preferred Stock and 3,000,000 shares of preferred stock are undesignated. As of September 30, 2019, 19,702,985 shares of common stock, 1,930,585 shares of Series 1 Nonconvertible Preferred Stock and no other shares of preferred stock were issued and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4" w:lineRule="exact"/>
        <w:rPr>
          <w:sz w:val="20"/>
          <w:szCs w:val="20"/>
          <w:color w:val="auto"/>
        </w:rPr>
      </w:pPr>
    </w:p>
    <w:p>
      <w:pPr>
        <w:ind w:right="60" w:firstLine="598"/>
        <w:spacing w:after="0" w:line="254"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of record on all matters submitted to a vote of the stockholders, and do not have cumulative voting rights. Subject to preferences that may be applicable to any then outstanding preferred stock, holders of common stock are entitled to receive dividends, if any, as and when declared by our board of directors. All outstanding shares of common stock are fully paid and nonassessable. 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including the Series 1 Nonconvertible Preferred Stock and any preferred stock which we may designate in the future.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79"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Series 1 Nonconvertible Preferred Stock. </w:t>
      </w:r>
      <w:r>
        <w:rPr>
          <w:rFonts w:ascii="Times New Roman" w:cs="Times New Roman" w:eastAsia="Times New Roman" w:hAnsi="Times New Roman"/>
          <w:sz w:val="18"/>
          <w:szCs w:val="18"/>
          <w:color w:val="auto"/>
        </w:rPr>
        <w:t>Holders of Series 1 Nonconvertible Preferred Stock are not entitled to receive notice of, to attend, or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meeting of the stockholders. In any case in which the General Corporation Law of the State of Delaware requires that holders of Series 1 Nonconvertible Preferred Stock be entitled to vote at any meeting of stockholders, such holders will be entitled to vote as a class, separately from any other class or series of capital stock and will be entitled to one vote per share. All outstanding shares of Series 1 Nonconvertible Preferred Stock are fully paid and nonassessable. In the event of any liquidation, dissolution or winding up of the affairs of the company, the Series 1 Nonconvertible Preferred Stock will have priority over the holders of common stock and any other series of stock that we may designate in the future, and shall be entitled to $1.00 per share to be paid first out of any assets of the company available for distribution. With the approval of a majority of the outstanding shares of the Series 1 Nonconvertible Preferred Stock, we may call for redemption shares of Series 1 Nonconvertible Preferred Stock at a cash redemption price equal to $1.00 per share. Holders of Series 1 Nonconvertible Preferred Stock have no preemptive, conversion or subscription rights, and there are no sinking fund provisions applicable to the Series 1 Nonconvertible Preferred Stock.</w:t>
      </w:r>
    </w:p>
    <w:p>
      <w:pPr>
        <w:spacing w:after="0" w:line="38" w:lineRule="exact"/>
        <w:rPr>
          <w:sz w:val="20"/>
          <w:szCs w:val="20"/>
          <w:color w:val="auto"/>
        </w:rPr>
      </w:pPr>
    </w:p>
    <w:p>
      <w:pPr>
        <w:jc w:val="both"/>
        <w:ind w:right="2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w:t>
      </w:r>
      <w:r>
        <w:rPr>
          <w:rFonts w:ascii="Times New Roman" w:cs="Times New Roman" w:eastAsia="Times New Roman" w:hAnsi="Times New Roman"/>
          <w:sz w:val="18"/>
          <w:szCs w:val="18"/>
          <w:color w:val="auto"/>
        </w:rPr>
        <w:t>Under our Certificate of Incorporation, our board of directors has the authority, without further action by the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up to 3,000,000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47"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and may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adversely affect the market price of the common stock and the voting and other rights of the holders of common stock.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our Bylaws and Delaware Law</w:t>
      </w:r>
    </w:p>
    <w:p>
      <w:pPr>
        <w:spacing w:after="0" w:line="81"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31"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94"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Meetings</w:t>
      </w:r>
    </w:p>
    <w:p>
      <w:pPr>
        <w:spacing w:after="0" w:line="81" w:lineRule="exact"/>
        <w:rPr>
          <w:sz w:val="20"/>
          <w:szCs w:val="20"/>
          <w:color w:val="auto"/>
        </w:rPr>
      </w:pPr>
    </w:p>
    <w:p>
      <w:pPr>
        <w:ind w:right="620" w:firstLine="598"/>
        <w:spacing w:after="0" w:line="282" w:lineRule="auto"/>
        <w:rPr>
          <w:sz w:val="20"/>
          <w:szCs w:val="20"/>
          <w:color w:val="auto"/>
        </w:rPr>
      </w:pPr>
      <w:r>
        <w:rPr>
          <w:rFonts w:ascii="Times New Roman" w:cs="Times New Roman" w:eastAsia="Times New Roman" w:hAnsi="Times New Roman"/>
          <w:sz w:val="18"/>
          <w:szCs w:val="18"/>
          <w:color w:val="auto"/>
        </w:rPr>
        <w:t>Our charter documents provide that a special meeting of stockholders may be called only by the chairman of our board of directors, our Chief Executive Officer, or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Stockholder Nominations and Proposals</w:t>
      </w:r>
    </w:p>
    <w:p>
      <w:pPr>
        <w:spacing w:after="0" w:line="81"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Elimination of Stockholder Action by Written Consent</w:t>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Certificate of Incorporation eliminates the right of stockholders to act by written consent without a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81" w:lineRule="exact"/>
        <w:rPr>
          <w:sz w:val="20"/>
          <w:szCs w:val="20"/>
          <w:color w:val="auto"/>
        </w:rPr>
      </w:pPr>
    </w:p>
    <w:p>
      <w:pPr>
        <w:ind w:right="80" w:firstLine="598"/>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Staggered Board; Removal of Directors</w:t>
      </w:r>
    </w:p>
    <w:p>
      <w:pPr>
        <w:spacing w:after="0" w:line="81" w:lineRule="exact"/>
        <w:rPr>
          <w:sz w:val="20"/>
          <w:szCs w:val="20"/>
          <w:color w:val="auto"/>
        </w:rPr>
      </w:pPr>
    </w:p>
    <w:p>
      <w:pPr>
        <w:ind w:right="200" w:firstLine="59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a director may be removed only for cause and only by the affirmative vote of the holders of at least 66 2/3% of the votes that all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0" w:name="page111"/>
    <w:bookmarkEnd w:id="110"/>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Super-Majority Voting</w:t>
      </w:r>
    </w:p>
    <w:p>
      <w:pPr>
        <w:spacing w:after="0" w:line="94"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66 2/3% of the votes that all our stockholders would be entitled to cast in an annual election of directors. In addition, the affirmative vote of the holders of at least 66 2/3% of the votes which all our stockholders would be entitled to cast in an election of directors is required to amend or repeal or to adopt any provisions inconsistent with any of the provisions of our Certificate of Incorporation described in this paragraph and under the heading “Staggered Board; Removal of Directors”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“ENTA.”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40" w:top="405" w:right="2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jc w:val="center"/>
              <w:ind w:right="554"/>
              <w:spacing w:after="0"/>
              <w:rPr>
                <w:sz w:val="20"/>
                <w:szCs w:val="20"/>
                <w:color w:val="auto"/>
              </w:rPr>
            </w:pPr>
            <w:r>
              <w:rPr>
                <w:rFonts w:ascii="Times New Roman" w:cs="Times New Roman" w:eastAsia="Times New Roman" w:hAnsi="Times New Roman"/>
                <w:sz w:val="18"/>
                <w:szCs w:val="18"/>
                <w:b w:val="1"/>
                <w:bCs w:val="1"/>
                <w:color w:val="auto"/>
                <w:w w:val="99"/>
              </w:rPr>
              <w:t>Enanta Pharmaceuticals, Inc.</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24"/>
        </w:trPr>
        <w:tc>
          <w:tcPr>
            <w:tcW w:w="3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jc w:val="center"/>
              <w:ind w:right="554"/>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92"/>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24"/>
                <w:szCs w:val="24"/>
                <w:color w:val="auto"/>
              </w:rPr>
            </w:pPr>
          </w:p>
        </w:tc>
        <w:tc>
          <w:tcPr>
            <w:tcW w:w="37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20" w:type="dxa"/>
            <w:vAlign w:val="bottom"/>
          </w:tcPr>
          <w:p>
            <w:pPr>
              <w:spacing w:after="0"/>
              <w:rPr>
                <w:sz w:val="24"/>
                <w:szCs w:val="24"/>
                <w:color w:val="auto"/>
              </w:rPr>
            </w:pPr>
          </w:p>
        </w:tc>
        <w:tc>
          <w:tcPr>
            <w:tcW w:w="3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STATE OR COUNTRY OF INCORPORATION</w:t>
            </w:r>
          </w:p>
        </w:tc>
      </w:tr>
      <w:tr>
        <w:trPr>
          <w:trHeight w:val="331"/>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Enanta Pharmaceuticals Security Corporation</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Enanta Pharmaceuticals, Inc.</w:t>
            </w:r>
          </w:p>
        </w:tc>
        <w:tc>
          <w:tcPr>
            <w:tcW w:w="3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Massachusetts</w:t>
            </w:r>
          </w:p>
        </w:tc>
      </w:tr>
    </w:tbl>
    <w:p>
      <w:pPr>
        <w:sectPr>
          <w:pgSz w:w="11900" w:h="16838" w:orient="portrait"/>
          <w:cols w:equalWidth="0" w:num="1">
            <w:col w:w="11420"/>
          </w:cols>
          <w:pgMar w:left="240" w:top="333"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333-189217, 333-192935, 333-202257, 333-209542, 333-215011, 333-221988, 333-231375 and 333-231384) of Enanta Pharmaceuticals, Inc. of our report dated November 27, 2019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2019</w:t>
      </w:r>
    </w:p>
    <w:p>
      <w:pPr>
        <w:sectPr>
          <w:pgSz w:w="11900" w:h="16838" w:orient="portrait"/>
          <w:cols w:equalWidth="0" w:num="1">
            <w:col w:w="11420"/>
          </w:cols>
          <w:pgMar w:left="240" w:top="117"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certify that:</w:t>
      </w:r>
    </w:p>
    <w:p>
      <w:pPr>
        <w:spacing w:after="0" w:line="117" w:lineRule="exact"/>
        <w:rPr>
          <w:sz w:val="20"/>
          <w:szCs w:val="20"/>
          <w:color w:val="auto"/>
        </w:rPr>
      </w:pPr>
    </w:p>
    <w:p>
      <w:pPr>
        <w:ind w:left="600" w:hanging="592"/>
        <w:spacing w:after="0"/>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00" w:right="320" w:hanging="592"/>
        <w:spacing w:after="0" w:line="282"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00" w:right="340" w:hanging="592"/>
        <w:spacing w:after="0" w:line="266"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200" w:right="20" w:hanging="598"/>
        <w:spacing w:after="0" w:line="266" w:lineRule="auto"/>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200" w:right="320" w:hanging="598"/>
        <w:spacing w:after="0" w:line="266" w:lineRule="auto"/>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200" w:right="520" w:hanging="598"/>
        <w:spacing w:after="0" w:line="282" w:lineRule="auto"/>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53" w:lineRule="exact"/>
        <w:rPr>
          <w:rFonts w:ascii="Times New Roman" w:cs="Times New Roman" w:eastAsia="Times New Roman" w:hAnsi="Times New Roman"/>
          <w:sz w:val="18"/>
          <w:szCs w:val="18"/>
          <w:color w:val="auto"/>
        </w:rPr>
      </w:pPr>
    </w:p>
    <w:p>
      <w:pPr>
        <w:ind w:left="1200" w:hanging="598"/>
        <w:spacing w:after="0" w:line="266" w:lineRule="auto"/>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00" w:right="240" w:hanging="592"/>
        <w:spacing w:after="0" w:line="282"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00" w:right="740" w:hanging="598"/>
        <w:spacing w:after="0" w:line="282" w:lineRule="auto"/>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00" w:right="420" w:hanging="598"/>
        <w:spacing w:after="0" w:line="282" w:lineRule="auto"/>
        <w:tabs>
          <w:tab w:leader="none" w:pos="12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2019</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117"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240.13a-14 or 240.15d-14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600" w:hanging="592"/>
        <w:spacing w:after="0"/>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Enanta Pharmaceuticals, Inc.;</w:t>
      </w:r>
    </w:p>
    <w:p>
      <w:pPr>
        <w:spacing w:after="0" w:line="117"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00" w:right="320" w:hanging="592"/>
        <w:spacing w:after="0" w:line="282"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00" w:right="340" w:hanging="592"/>
        <w:spacing w:after="0" w:line="266"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200" w:right="20" w:hanging="598"/>
        <w:spacing w:after="0" w:line="266" w:lineRule="auto"/>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200" w:right="320" w:hanging="598"/>
        <w:spacing w:after="0" w:line="266" w:lineRule="auto"/>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200" w:right="520" w:hanging="598"/>
        <w:spacing w:after="0" w:line="282" w:lineRule="auto"/>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53" w:lineRule="exact"/>
        <w:rPr>
          <w:rFonts w:ascii="Times New Roman" w:cs="Times New Roman" w:eastAsia="Times New Roman" w:hAnsi="Times New Roman"/>
          <w:sz w:val="18"/>
          <w:szCs w:val="18"/>
          <w:color w:val="auto"/>
        </w:rPr>
      </w:pPr>
    </w:p>
    <w:p>
      <w:pPr>
        <w:ind w:left="1200" w:hanging="598"/>
        <w:spacing w:after="0" w:line="266" w:lineRule="auto"/>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00" w:right="240" w:hanging="592"/>
        <w:spacing w:after="0" w:line="282" w:lineRule="auto"/>
        <w:tabs>
          <w:tab w:leader="none" w:pos="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00" w:right="740" w:hanging="598"/>
        <w:spacing w:after="0" w:line="282" w:lineRule="auto"/>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00" w:right="420" w:hanging="598"/>
        <w:spacing w:after="0" w:line="282" w:lineRule="auto"/>
        <w:tabs>
          <w:tab w:leader="none" w:pos="12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2019</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w:t>
      </w:r>
      <w:r>
        <w:rPr>
          <w:rFonts w:ascii="Times New Roman" w:cs="Times New Roman" w:eastAsia="Times New Roman" w:hAnsi="Times New Roman"/>
          <w:sz w:val="18"/>
          <w:szCs w:val="18"/>
          <w:color w:val="auto"/>
        </w:rPr>
        <w:t>r</w:t>
      </w:r>
    </w:p>
    <w:p>
      <w:pPr>
        <w:sectPr>
          <w:pgSz w:w="11900" w:h="16838" w:orient="portrait"/>
          <w:cols w:equalWidth="0" w:num="1">
            <w:col w:w="11420"/>
          </w:cols>
          <w:pgMar w:left="240" w:top="117"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2019 complies with the requirements of Section 13(a) or 15(d) of the Securities Exchange Act of 1934 and that information contained in the Form 10-K fairly presents, in all material respects, the financial condition and results of operations of Enanta.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27, 2019</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27, 2019</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
    <w:nsid w:val="737B8DDC"/>
    <w:multiLevelType w:val="hybridMultilevel"/>
    <w:lvl w:ilvl="0">
      <w:lvlJc w:val="left"/>
      <w:lvlText w:val="•"/>
      <w:numFmt w:val="bullet"/>
      <w:start w:val="1"/>
    </w:lvl>
    <w:lvl w:ilvl="1">
      <w:lvlJc w:val="left"/>
      <w:lvlText w:val="o"/>
      <w:numFmt w:val="bullet"/>
      <w:start w:val="1"/>
    </w:lvl>
    <w:lvl w:ilvl="2">
      <w:lvlJc w:val="left"/>
      <w:lvlText w:val="▪"/>
      <w:numFmt w:val="bullet"/>
      <w:start w:val="1"/>
    </w:lvl>
    <w:lvl w:ilvl="3">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25"/>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3"/>
    </w:lvl>
  </w:abstractNum>
  <w:abstractNum w:abstractNumId="46">
    <w:nsid w:val="75C6C33A"/>
    <w:multiLevelType w:val="hybridMultilevel"/>
    <w:lvl w:ilvl="0">
      <w:lvlJc w:val="left"/>
      <w:lvlText w:val="%1"/>
      <w:numFmt w:val="decimal"/>
      <w:start w:val="104"/>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2"/>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decimal"/>
      <w:start w:val="7"/>
    </w:lvl>
  </w:abstractNum>
  <w:abstractNum w:abstractNumId="53">
    <w:nsid w:val="649BB77C"/>
    <w:multiLevelType w:val="hybridMultilevel"/>
    <w:lvl w:ilvl="0">
      <w:lvlJc w:val="left"/>
      <w:lvlText w:val="%1."/>
      <w:numFmt w:val="decimal"/>
      <w:start w:val="12"/>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25"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98" Type="http://schemas.openxmlformats.org/officeDocument/2006/relationships/hyperlink" Target="http://www.sec.gov/Archives/edgar/data/1177648/000119312513132679/d511662dex31.htm" TargetMode="External"/><Relationship Id="rId99" Type="http://schemas.openxmlformats.org/officeDocument/2006/relationships/hyperlink" Target="http://www.sec.gov/Archives/edgar/data/1177648/000119312515294582/d95810dex32.htm" TargetMode="External"/><Relationship Id="rId100" Type="http://schemas.openxmlformats.org/officeDocument/2006/relationships/hyperlink" Target="http://www.sec.gov/Archives/edgar/data/1177648/000119312513038960/d401292dex41.htm" TargetMode="External"/><Relationship Id="rId101" Type="http://schemas.openxmlformats.org/officeDocument/2006/relationships/hyperlink" Target="http://www.sec.gov/Archives/edgar/data/1177648/000156459017024794/enta-ex43_1302.htm" TargetMode="External"/><Relationship Id="rId102" Type="http://schemas.openxmlformats.org/officeDocument/2006/relationships/hyperlink" Target="http://www.sec.gov/Archives/edgar/data/1177648/000119312513038960/d401292dex107.htm" TargetMode="External"/><Relationship Id="rId103" Type="http://schemas.openxmlformats.org/officeDocument/2006/relationships/hyperlink" Target="http://www.sec.gov/Archives/edgar/data/1177648/000119312513091763/d401292dex105.htm" TargetMode="External"/><Relationship Id="rId107" Type="http://schemas.openxmlformats.org/officeDocument/2006/relationships/hyperlink" Target="http://www.sec.gov/Archives/edgar/data/1177648/000119312513091763/d401292dex1017.htm" TargetMode="External"/><Relationship Id="rId108" Type="http://schemas.openxmlformats.org/officeDocument/2006/relationships/hyperlink" Target="http://www.sec.gov/Archives/edgar/data/1177648/000119312516455395/d106818dex101.htm" TargetMode="External"/><Relationship Id="rId109" Type="http://schemas.openxmlformats.org/officeDocument/2006/relationships/hyperlink" Target="http://www.sec.gov/Archives/edgar/data/1177648/000119312514440235/d814941dex105.htm" TargetMode="External"/><Relationship Id="rId110" Type="http://schemas.openxmlformats.org/officeDocument/2006/relationships/hyperlink" Target="http://www.sec.gov/Archives/edgar/data/1177648/000119312515179595/d873137dex101.htm" TargetMode="External"/><Relationship Id="rId111" Type="http://schemas.openxmlformats.org/officeDocument/2006/relationships/hyperlink" Target="http://www.sec.gov/Archives/edgar/data/1177648/000119312512454422/d401292dex106.htm" TargetMode="External"/><Relationship Id="rId112" Type="http://schemas.openxmlformats.org/officeDocument/2006/relationships/hyperlink" Target="http://www.sec.gov/Archives/edgar/data/1177648/000119312515179595/d873137dex102.htm" TargetMode="External"/><Relationship Id="rId113" Type="http://schemas.openxmlformats.org/officeDocument/2006/relationships/hyperlink" Target="http://www.sec.gov/Archives/edgar/data/1177648/000119312512454422/d401292dex104.htm" TargetMode="External"/><Relationship Id="rId114" Type="http://schemas.openxmlformats.org/officeDocument/2006/relationships/hyperlink" Target="http://www.sec.gov/Archives/edgar/data/1177648/000156459018030275/enta-ex1010_399.htm" TargetMode="External"/><Relationship Id="rId115" Type="http://schemas.openxmlformats.org/officeDocument/2006/relationships/hyperlink" Target="http://www.sec.gov/Archives/edgar/data/1177648/000119312513091763/d401292dex108.htm" TargetMode="External"/><Relationship Id="rId116" Type="http://schemas.openxmlformats.org/officeDocument/2006/relationships/hyperlink" Target="http://www.sec.gov/Archives/edgar/data/1177648/000119312513091763/d401292dex109.htm" TargetMode="External"/><Relationship Id="rId117" Type="http://schemas.openxmlformats.org/officeDocument/2006/relationships/hyperlink" Target="http://www.sec.gov/Archives/edgar/data/1177648/000119312513091763/d401292dex1010.htm" TargetMode="External"/><Relationship Id="rId118" Type="http://schemas.openxmlformats.org/officeDocument/2006/relationships/hyperlink" Target="http://www.sec.gov/Archives/edgar/data/1177648/000119312513091763/d401292dex1011.htm" TargetMode="External"/><Relationship Id="rId119" Type="http://schemas.openxmlformats.org/officeDocument/2006/relationships/hyperlink" Target="http://www.sec.gov/Archives/edgar/data/1177648/000119312517004530/d325877dex1014.htm" TargetMode="External"/><Relationship Id="rId120" Type="http://schemas.openxmlformats.org/officeDocument/2006/relationships/hyperlink" Target="http://www.sec.gov/Archives/edgar/data/1177648/000119312513091763/d401292dex1013.htm" TargetMode="External"/><Relationship Id="rId121" Type="http://schemas.openxmlformats.org/officeDocument/2006/relationships/hyperlink" Target="http://www.sec.gov/Archives/edgar/data/1177648/000119312513091763/d401292dex1014.htm" TargetMode="External"/><Relationship Id="rId122" Type="http://schemas.openxmlformats.org/officeDocument/2006/relationships/hyperlink" Target="http://www.sec.gov/Archives/edgar/data/1177648/000119312513091763/d401292dex1015.htm" TargetMode="External"/><Relationship Id="rId123" Type="http://schemas.openxmlformats.org/officeDocument/2006/relationships/hyperlink" Target="http://www.sec.gov/Archives/edgar/data/1177648/000156459017024794/enta-ex1018_1136.htm" TargetMode="External"/><Relationship Id="rId124" Type="http://schemas.openxmlformats.org/officeDocument/2006/relationships/hyperlink" Target="http://www.sec.gov/Archives/edgar/data/1177648/000156459017024794/enta-ex1019_1137.htm" TargetMode="External"/><Relationship Id="rId126" Type="http://schemas.openxmlformats.org/officeDocument/2006/relationships/hyperlink" Target="http://www.sec.gov/Archives/edgar/data/1177648/000119312513038960/d401292dex1016.htm" TargetMode="External"/><Relationship Id="rId127" Type="http://schemas.openxmlformats.org/officeDocument/2006/relationships/hyperlink" Target="http://www.sec.gov/Archives/edgar/data/1177648/000156459019006792/enta-ex101_6.htm" TargetMode="External"/><Relationship Id="rId128" Type="http://schemas.openxmlformats.org/officeDocument/2006/relationships/hyperlink" Target="http://www.sec.gov/Archives/edgar/data/1177648/000156459019018517/enta-ex102_12.htm" TargetMode="External"/><Relationship Id="rId129" Type="http://schemas.openxmlformats.org/officeDocument/2006/relationships/hyperlink" Target="http://www.sec.gov/Archives/edgar/data/1177648/000156459019018517/enta-ex103_11.htm" TargetMode="External"/><Relationship Id="rId130" Type="http://schemas.openxmlformats.org/officeDocument/2006/relationships/hyperlink" Target="http://www.sec.gov/Archives/edgar/data/1177648/000156459019018517/enta-ex104_166.htm" TargetMode="External"/><Relationship Id="rId131" Type="http://schemas.openxmlformats.org/officeDocument/2006/relationships/hyperlink" Target="http://www.sec.gov/Archives/edgar/data/1177648/000156459019018517/enta-ex105_1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2019-12-28T01:12:56Z</dcterms:created>
  <dcterms:modified xsi:type="dcterms:W3CDTF">2019-12-28T01:12:56Z</dcterms:modified>
</cp:coreProperties>
</file>