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36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June 30, 2018</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86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ind w:right="42"/>
              <w:spacing w:after="0"/>
              <w:rPr>
                <w:sz w:val="20"/>
                <w:szCs w:val="20"/>
                <w:color w:val="auto"/>
              </w:rPr>
            </w:pPr>
            <w:r>
              <w:rPr>
                <w:rFonts w:ascii="Arial" w:cs="Arial" w:eastAsia="Arial" w:hAnsi="Arial"/>
                <w:sz w:val="18"/>
                <w:szCs w:val="18"/>
                <w:b w:val="1"/>
                <w:bCs w:val="1"/>
                <w:color w:val="auto"/>
                <w:w w:val="89"/>
              </w:rPr>
              <w:t>2834</w:t>
            </w:r>
          </w:p>
        </w:tc>
        <w:tc>
          <w:tcPr>
            <w:tcW w:w="252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860" w:type="dxa"/>
            <w:vAlign w:val="bottom"/>
          </w:tcPr>
          <w:p>
            <w:pPr>
              <w:jc w:val="center"/>
              <w:ind w:right="90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2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ind w:right="20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ind w:right="180" w:firstLine="518"/>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355" w:right="279" w:bottom="1440" w:gutter="0" w:footer="0" w:header="0"/>
        </w:sectPr>
      </w:pPr>
    </w:p>
    <w:p>
      <w:pPr>
        <w:spacing w:after="0" w:line="181"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257" w:lineRule="exact"/>
        <w:tabs>
          <w:tab w:leader="none" w:pos="5140" w:val="left"/>
          <w:tab w:leader="none" w:pos="7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233" w:lineRule="exact"/>
        <w:tabs>
          <w:tab w:leader="none" w:pos="5140" w:val="left"/>
          <w:tab w:leader="none" w:pos="7760" w:val="left"/>
        </w:tabs>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(Do not check if a small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0" w:lineRule="exact"/>
        <w:rPr>
          <w:sz w:val="24"/>
          <w:szCs w:val="24"/>
          <w:color w:val="auto"/>
        </w:rPr>
      </w:pPr>
    </w:p>
    <w:p>
      <w:pPr>
        <w:sectPr>
          <w:pgSz w:w="11900" w:h="16838" w:orient="portrait"/>
          <w:cols w:equalWidth="0" w:num="2">
            <w:col w:w="2400" w:space="720"/>
            <w:col w:w="8260"/>
          </w:cols>
          <w:pgMar w:left="240" w:top="355" w:right="279" w:bottom="1440" w:gutter="0" w:footer="0" w:header="0"/>
          <w:type w:val="continuous"/>
        </w:sectPr>
      </w:pPr>
    </w:p>
    <w:p>
      <w:pPr>
        <w:spacing w:after="0" w:line="9" w:lineRule="exact"/>
        <w:rPr>
          <w:sz w:val="24"/>
          <w:szCs w:val="24"/>
          <w:color w:val="auto"/>
        </w:rPr>
      </w:pPr>
    </w:p>
    <w:p>
      <w:pPr>
        <w:ind w:left="20"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520" w:right="1340"/>
        <w:spacing w:after="0" w:line="29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As of August 1, 2018, the registrant had 19,377,527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5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6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1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20" w:type="dxa"/>
            <w:vAlign w:val="bottom"/>
          </w:tcPr>
          <w:p>
            <w:pPr>
              <w:spacing w:after="0"/>
              <w:rPr>
                <w:sz w:val="17"/>
                <w:szCs w:val="17"/>
                <w:color w:val="auto"/>
              </w:rPr>
            </w:pPr>
          </w:p>
        </w:tc>
        <w:tc>
          <w:tcPr>
            <w:tcW w:w="25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6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Consolidated Balance Sheets</w:t>
              </w:r>
            </w:hyperlink>
          </w:p>
        </w:tc>
        <w:tc>
          <w:tcPr>
            <w:tcW w:w="722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Operations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Statements of Comprehensive Income (Loss)</w:t>
              </w:r>
            </w:hyperlink>
          </w:p>
        </w:tc>
        <w:tc>
          <w:tcPr>
            <w:tcW w:w="50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Cash Flows</w:t>
              </w:r>
            </w:hyperlink>
          </w:p>
        </w:tc>
        <w:tc>
          <w:tcPr>
            <w:tcW w:w="644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Notes to Consolidated Financial Statements</w:t>
              </w:r>
            </w:hyperlink>
          </w:p>
        </w:tc>
        <w:tc>
          <w:tcPr>
            <w:tcW w:w="61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20" w:type="dxa"/>
            <w:vAlign w:val="bottom"/>
          </w:tcPr>
          <w:p>
            <w:pPr>
              <w:spacing w:after="0"/>
              <w:rPr>
                <w:sz w:val="17"/>
                <w:szCs w:val="17"/>
                <w:color w:val="auto"/>
              </w:rPr>
            </w:pPr>
          </w:p>
        </w:tc>
        <w:tc>
          <w:tcPr>
            <w:tcW w:w="6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7"/>
                <w:szCs w:val="17"/>
                <w:color w:val="auto"/>
              </w:rPr>
            </w:pPr>
          </w:p>
        </w:tc>
        <w:tc>
          <w:tcPr>
            <w:tcW w:w="10100" w:type="dxa"/>
            <w:vAlign w:val="bottom"/>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20" w:type="dxa"/>
            <w:vAlign w:val="bottom"/>
          </w:tcPr>
          <w:p>
            <w:pPr>
              <w:spacing w:after="0"/>
              <w:rPr>
                <w:sz w:val="17"/>
                <w:szCs w:val="17"/>
                <w:color w:val="auto"/>
              </w:rPr>
            </w:pPr>
          </w:p>
        </w:tc>
        <w:tc>
          <w:tcPr>
            <w:tcW w:w="4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580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7"/>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II—OTHER INFORMATION</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Risk Factors</w:t>
              </w:r>
            </w:hyperlink>
          </w:p>
        </w:tc>
        <w:tc>
          <w:tcPr>
            <w:tcW w:w="1000" w:type="dxa"/>
            <w:vAlign w:val="bottom"/>
            <w:tcBorders>
              <w:top w:val="single" w:sz="8" w:color="0000EE"/>
            </w:tcBorders>
            <w:gridSpan w:val="2"/>
          </w:tcPr>
          <w:p>
            <w:pPr>
              <w:spacing w:after="0"/>
              <w:rPr>
                <w:sz w:val="17"/>
                <w:szCs w:val="17"/>
                <w:color w:val="auto"/>
              </w:rPr>
            </w:pPr>
          </w:p>
        </w:tc>
        <w:tc>
          <w:tcPr>
            <w:tcW w:w="82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012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within the meaning of Section 21E of the Securities Exchange Act of 1934, as amended.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Securities and Exchange Commission (SEC) after the date of this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6440" w:type="dxa"/>
            <w:vAlign w:val="bottom"/>
          </w:tcPr>
          <w:p>
            <w:pPr>
              <w:jc w:val="center"/>
              <w:ind w:left="261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40" w:type="dxa"/>
            <w:vAlign w:val="bottom"/>
            <w:tcBorders>
              <w:bottom w:val="single" w:sz="8" w:color="CFF0FC"/>
            </w:tcBorders>
          </w:tcPr>
          <w:p>
            <w:pPr>
              <w:spacing w:after="0"/>
              <w:rPr>
                <w:sz w:val="14"/>
                <w:szCs w:val="14"/>
                <w:color w:val="auto"/>
              </w:rPr>
            </w:pPr>
          </w:p>
        </w:tc>
        <w:tc>
          <w:tcPr>
            <w:tcW w:w="64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42,477</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230,750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157,994</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70,038</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8,049</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9"/>
                <w:szCs w:val="19"/>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r>
      <w:tr>
        <w:trPr>
          <w:trHeight w:val="263"/>
        </w:trPr>
        <w:tc>
          <w:tcPr>
            <w:tcW w:w="7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379,085</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Borders>
              <w:bottom w:val="single" w:sz="8" w:color="CFF0FC"/>
            </w:tcBorders>
          </w:tcPr>
          <w:p>
            <w:pPr>
              <w:spacing w:after="0"/>
              <w:rPr>
                <w:sz w:val="22"/>
                <w:szCs w:val="22"/>
                <w:color w:val="auto"/>
              </w:rPr>
            </w:pPr>
          </w:p>
        </w:tc>
      </w:tr>
      <w:tr>
        <w:trPr>
          <w:trHeight w:val="21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9,127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24,961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19,360 and</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7"/>
              </w:rPr>
              <w:t>19,120 shares issued and outstanding at June 30, 2018 and September 30, 2017, respectively</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271,365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256,241</w:t>
            </w:r>
          </w:p>
        </w:tc>
        <w:tc>
          <w:tcPr>
            <w:tcW w:w="120" w:type="dxa"/>
            <w:vAlign w:val="bottom"/>
          </w:tcPr>
          <w:p>
            <w:pPr>
              <w:spacing w:after="0"/>
              <w:rPr>
                <w:sz w:val="19"/>
                <w:szCs w:val="19"/>
                <w:color w:val="auto"/>
              </w:rPr>
            </w:pPr>
          </w:p>
        </w:tc>
      </w:tr>
      <w:tr>
        <w:trPr>
          <w:trHeight w:val="230"/>
        </w:trPr>
        <w:tc>
          <w:tcPr>
            <w:tcW w:w="7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30"/>
        </w:trPr>
        <w:tc>
          <w:tcPr>
            <w:tcW w:w="7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89,937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301,676</w:t>
            </w:r>
          </w:p>
        </w:tc>
        <w:tc>
          <w:tcPr>
            <w:tcW w:w="120" w:type="dxa"/>
            <w:vAlign w:val="bottom"/>
            <w:shd w:val="clear" w:color="auto" w:fill="CFF0FC"/>
          </w:tcPr>
          <w:p>
            <w:pPr>
              <w:spacing w:after="0"/>
              <w:rPr>
                <w:sz w:val="19"/>
                <w:szCs w:val="19"/>
                <w:color w:val="auto"/>
              </w:rPr>
            </w:pPr>
          </w:p>
        </w:tc>
      </w:tr>
      <w:tr>
        <w:trPr>
          <w:trHeight w:val="223"/>
        </w:trPr>
        <w:tc>
          <w:tcPr>
            <w:tcW w:w="758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379,085</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326,637</w:t>
            </w:r>
          </w:p>
        </w:tc>
        <w:tc>
          <w:tcPr>
            <w:tcW w:w="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57,262</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7,511</w:t>
            </w:r>
          </w:p>
        </w:tc>
        <w:tc>
          <w:tcPr>
            <w:tcW w:w="18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124,420</w:t>
            </w:r>
          </w:p>
        </w:tc>
        <w:tc>
          <w:tcPr>
            <w:tcW w:w="18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57,262</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139,420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67,933</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85,544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22,640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Change in fair value of warrant liability and Series 1 nonconvertible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23,978</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2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(3,690)</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(12,704)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(0.44)</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70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(8,426)</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(18,798)</w:t>
            </w:r>
          </w:p>
        </w:tc>
        <w:tc>
          <w:tcPr>
            <w:tcW w:w="100" w:type="dxa"/>
            <w:vAlign w:val="bottom"/>
            <w:shd w:val="clear" w:color="auto" w:fill="CFF0FC"/>
          </w:tcPr>
          <w:p>
            <w:pPr>
              <w:spacing w:after="0"/>
              <w:rPr>
                <w:sz w:val="19"/>
                <w:szCs w:val="19"/>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Net unrealized income (loss) on marketable securities, net of tax of $76,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($17), ($159), ($93)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r>
      <w:tr>
        <w:trPr>
          <w:trHeight w:val="223"/>
        </w:trPr>
        <w:tc>
          <w:tcPr>
            <w:tcW w:w="5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20,487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60" w:type="dxa"/>
            <w:vAlign w:val="bottom"/>
            <w:gridSpan w:val="3"/>
          </w:tcPr>
          <w:p>
            <w:pPr>
              <w:jc w:val="right"/>
              <w:ind w:right="145"/>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4"/>
                <w:szCs w:val="14"/>
                <w:b w:val="1"/>
                <w:bCs w:val="1"/>
                <w:color w:val="auto"/>
              </w:rPr>
              <w:t>June 30,</w:t>
            </w: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9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6"/>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9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260" w:type="dxa"/>
            <w:vAlign w:val="bottom"/>
          </w:tcPr>
          <w:p>
            <w:pPr>
              <w:jc w:val="right"/>
              <w:ind w:right="110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44,536</w:t>
            </w:r>
          </w:p>
        </w:tc>
        <w:tc>
          <w:tcPr>
            <w:tcW w:w="340" w:type="dxa"/>
            <w:vAlign w:val="bottom"/>
          </w:tcPr>
          <w:p>
            <w:pPr>
              <w:spacing w:after="0"/>
              <w:rPr>
                <w:sz w:val="19"/>
                <w:szCs w:val="19"/>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(18,798)</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Adjustments to reconcile net income (loss) to net cash provided by operating activities: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11,735</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9,861</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 expense</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2,353</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(9,240)</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benefit from stock awards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Premium on marketable securities</w:t>
            </w:r>
          </w:p>
        </w:tc>
        <w:tc>
          <w:tcPr>
            <w:tcW w:w="1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(297)</w:t>
            </w:r>
          </w:p>
        </w:tc>
        <w:tc>
          <w:tcPr>
            <w:tcW w:w="6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(840)</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premium on marketable securities</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(238)</w:t>
            </w: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w w:val="97"/>
              </w:rPr>
              <w:t>Change in fair value of warrant liability and Series 1 nonconvertible preferred stock</w:t>
            </w:r>
          </w:p>
        </w:tc>
        <w:tc>
          <w:tcPr>
            <w:tcW w:w="1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non-cash items</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(84)</w:t>
            </w:r>
          </w:p>
        </w:tc>
        <w:tc>
          <w:tcPr>
            <w:tcW w:w="6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Change in operating assets and liabilities: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(46,648)</w:t>
            </w: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(5,868)</w:t>
            </w: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w:t>
            </w: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740"/>
              <w:spacing w:after="0"/>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 payable</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(12,818)</w:t>
            </w:r>
          </w:p>
        </w:tc>
        <w:tc>
          <w:tcPr>
            <w:tcW w:w="6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3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(4,653)</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property and equipment</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(2,358)</w:t>
            </w:r>
          </w:p>
        </w:tc>
        <w:tc>
          <w:tcPr>
            <w:tcW w:w="6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(2,272)</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Purchase of marketable securities</w:t>
            </w:r>
          </w:p>
        </w:tc>
        <w:tc>
          <w:tcPr>
            <w:tcW w:w="1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(179,076)</w:t>
            </w:r>
          </w:p>
        </w:tc>
        <w:tc>
          <w:tcPr>
            <w:tcW w:w="6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(186,222)</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maturities and sales of marketable securities</w:t>
            </w:r>
          </w:p>
        </w:tc>
        <w:tc>
          <w:tcPr>
            <w:tcW w:w="1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153,981</w:t>
            </w:r>
          </w:p>
        </w:tc>
        <w:tc>
          <w:tcPr>
            <w:tcW w:w="3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198,823</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1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(27,453)</w:t>
            </w:r>
          </w:p>
        </w:tc>
        <w:tc>
          <w:tcPr>
            <w:tcW w:w="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10,329</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5,192</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capital lease obligations</w:t>
            </w:r>
          </w:p>
        </w:tc>
        <w:tc>
          <w:tcPr>
            <w:tcW w:w="1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Payments for settlement of share-based awards</w:t>
            </w:r>
          </w:p>
        </w:tc>
        <w:tc>
          <w:tcPr>
            <w:tcW w:w="126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(1,757)</w:t>
            </w:r>
          </w:p>
        </w:tc>
        <w:tc>
          <w:tcPr>
            <w:tcW w:w="6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w:t>
            </w:r>
          </w:p>
        </w:tc>
        <w:tc>
          <w:tcPr>
            <w:tcW w:w="3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(23,198)</w:t>
            </w: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5,686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1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65,675</w:t>
            </w:r>
          </w:p>
        </w:tc>
        <w:tc>
          <w:tcPr>
            <w:tcW w:w="34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16,577</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1260" w:type="dxa"/>
            <w:vAlign w:val="bottom"/>
            <w:tcBorders>
              <w:bottom w:val="single" w:sz="8" w:color="auto"/>
            </w:tcBorders>
          </w:tcPr>
          <w:p>
            <w:pPr>
              <w:jc w:val="right"/>
              <w:ind w:right="110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42,477</w:t>
            </w:r>
          </w:p>
        </w:tc>
        <w:tc>
          <w:tcPr>
            <w:tcW w:w="34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jc w:val="right"/>
              <w:ind w:right="5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22,263</w:t>
            </w:r>
          </w:p>
        </w:tc>
        <w:tc>
          <w:tcPr>
            <w:tcW w:w="120" w:type="dxa"/>
            <w:vAlign w:val="bottom"/>
            <w:tcBorders>
              <w:bottom w:val="single" w:sz="8" w:color="CFF0FC"/>
            </w:tcBorders>
          </w:tcPr>
          <w:p>
            <w:pPr>
              <w:spacing w:after="0"/>
              <w:rPr>
                <w:sz w:val="19"/>
                <w:szCs w:val="19"/>
                <w:color w:val="auto"/>
              </w:rPr>
            </w:pP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Cash paid for income taxes</w:t>
            </w:r>
          </w:p>
        </w:tc>
        <w:tc>
          <w:tcPr>
            <w:tcW w:w="1260" w:type="dxa"/>
            <w:vAlign w:val="bottom"/>
          </w:tcPr>
          <w:p>
            <w:pPr>
              <w:jc w:val="right"/>
              <w:ind w:right="110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21,404</w:t>
            </w:r>
          </w:p>
        </w:tc>
        <w:tc>
          <w:tcPr>
            <w:tcW w:w="340" w:type="dxa"/>
            <w:vAlign w:val="bottom"/>
          </w:tcPr>
          <w:p>
            <w:pPr>
              <w:spacing w:after="0"/>
              <w:rPr>
                <w:sz w:val="20"/>
                <w:szCs w:val="20"/>
                <w:color w:val="auto"/>
              </w:rPr>
            </w:pP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3"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of two protease inhibitors discovered and developed through its collaboration with AbbVie and marketed as part of AbbVie’s new direct-acting antiviral (DAA) regimen under the tradenames MAVYRET™ (U.S.) or MAVIRET™ (ex-U.S.) (glecaprevir/pibrentasvir) for the treatment of chronic hepatitis C virus, or HCV. The other protease inhibitor under its HCV collaboration, which is part of AbbVie’s initial DAA regimens for the treatment of chronic HCV, is currently marketed outside the U.S. under the tradename VIEKIRAX</w:t>
      </w:r>
      <w:r>
        <w:rPr>
          <w:rFonts w:ascii="Arial" w:cs="Arial" w:eastAsia="Arial" w:hAnsi="Arial"/>
          <w:sz w:val="15"/>
          <w:szCs w:val="15"/>
          <w:color w:val="auto"/>
        </w:rPr>
        <w:t>®</w:t>
      </w:r>
      <w:r>
        <w:rPr>
          <w:rFonts w:ascii="Arial" w:cs="Arial" w:eastAsia="Arial" w:hAnsi="Arial"/>
          <w:sz w:val="18"/>
          <w:szCs w:val="18"/>
          <w:color w:val="auto"/>
        </w:rPr>
        <w:t xml:space="preserve"> (paritaprevir/ritonavir/ombitasvir). Royalties from the Company’s AbbVie collaboration and its existing financial resources provide funding to support its wholly-owned research and development programs, which are currently focused on the following disease targets: non-alcoholic steatohepatitis (“NASH”); primary biliary cholangitis (“PBC”); respiratory syncytial virus (“RSV”) and hepatitis B virus (“HBV”).</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regulations and the need to obtain additional financing.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balance sheet at September 30, 2017 was derived from audited financial statements, but does not include all disclosures required by accounting principles generally accepted in the United States of America (“GAAP”). The accompanying unaudited consolidated financial statements as of June 30, 2018 and for the three and nine months ended June 30, 2018 and 2017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2017.</w:t>
      </w:r>
    </w:p>
    <w:p>
      <w:pPr>
        <w:spacing w:after="0" w:line="189"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In the opinion of management, all adjustments, consisting of normal recurring adjustments necessary for a fair statement of the Company’s financial position as of June 30, 2018 and results of operations for the three and nine months ended June 30, 2018 and 2017 and cash flows for the nine months ended June 30, 2018 and 2017, have been made. The results of operations for the nine months ended June 30, 2018 are not necessarily indicative of the results of operations that may be expected for subsequent quarters or for the year ending September 30, 2018.</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accompanying consolidated financial statements have been prepared in conformity with GAAP. All dollar amounts in the consolidated financial statements and in the notes to the consolidated financial statements, except per share amounts, are in thousands unless otherwise indicated. Certain reclassifications were made to non-operating income (expense) to net interest income and interest expense in the consolidated statements of operations and to net proceeds received from maturities and sales of marketable securities in the consolidated statements of cash flows to conform the prior period presentation to the current period presentation.</w:t>
      </w:r>
    </w:p>
    <w:p>
      <w:pPr>
        <w:spacing w:after="0" w:line="292"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Company’s Significant Accounting Policies, please refer to its Annual Report on Form 10-K for the fiscal year ended September 30, 2017. Other than the adoption of ASU 2016-09 as of October 1, 2017, there were no other significant changes to the Company’s Significant Accounting Policies during the quarter.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of separate units of accounting and best estimate of selling price of those units of accounting within its revenue arrangements; valuation of stock-based awards;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was effective for the Company in the fiscal year beginning October 1, 2017. As a result of the adoption, the Company changed its forfeiture rate policy to recognize forfeitures as they occur. Upon adoption, the cumulative impact of this accounting policy change on retained earnings and deferred tax assets in the consolidated balance sheet was not material. In addition, the consolidated statements of cash flows now presents excess tax benefits as part of cash flows from operating activities. The Company elected to adopt this change on a prospective basis and, therefore, excess tax benefits from prior periods in the statement of cash flow were not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an entity’s identification of its performance obligations in a contract, collectibility, non-cash consideration, presentation of sales tax and an entity’s evaluation of the nature of its promise to grant a license of intellectual property and whether or not that revenue is recognized over time or at a point in time. The new guidance must be adopted using either a modified retrospective approach or a full retrospective approach for all periods presented. Under the modified retrospective method, the cumulative effect of applying the new standard would</w:t>
      </w:r>
    </w:p>
    <w:p>
      <w:pPr>
        <w:spacing w:after="0" w:line="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be recognized at the adoption date in retained earnings on the consolidated balance sheet. Under the full retrospective approach, the new standard would be applied to each prior reporting period presented. These new standards will be effective for the Company beginning October 1, 2018. The Company will adopt the standard under the modified retrospective method, the impact of which is not expected to have a material impact on the Company’s consolidated financial statements as the AbbVie Agreement is the only revenue-generating arrangement outstanding and all performance obligations under the agreement have been achieved. The Company is currently earning annually tiered per-product royalties on the portion of AbbVie’s net sales of its HCV regimens allocable to the protease inhibitor product in the regimen.</w:t>
      </w:r>
    </w:p>
    <w:p>
      <w:pPr>
        <w:spacing w:after="0" w:line="19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Upon adoption, the Company will adjust the presentation of the statement of cash flows to include restricted cash related to an outstanding letter of credit collateralized by a money market fund of $608 so that it is included in the beginning balance of cash and cash equivalents.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xml:space="preserve"> (“ASU 2017-09”) which provides updated guidance about changes to the terms or conditions of a share-based payment award that requires companies to apply modification accounting under Topic 718. This amendment is effective for the Company in the fiscal year beginning October 1, 2018, but early adoption is permissible. The Company does not expect the adoption of ASU 2017-09 to have a material impact on its consolidated financial statements.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earliest call date rather 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5"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June 30, 2018 and September 30, 2017 and indicate the fair value hierarchy of the valuation inputs utilized to determine such fair value: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Fair Value Measurements at June 30, 2018 Using:</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16,837</w:t>
            </w:r>
          </w:p>
        </w:tc>
        <w:tc>
          <w:tcPr>
            <w:tcW w:w="4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129,665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129,665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640" w:type="dxa"/>
            <w:vAlign w:val="bottom"/>
            <w:tcBorders>
              <w:bottom w:val="single" w:sz="8" w:color="CFF0FC"/>
            </w:tcBorders>
          </w:tcPr>
          <w:p>
            <w:pPr>
              <w:spacing w:after="0"/>
              <w:rPr>
                <w:sz w:val="22"/>
                <w:szCs w:val="22"/>
                <w:color w:val="auto"/>
              </w:rPr>
            </w:pPr>
          </w:p>
        </w:tc>
        <w:tc>
          <w:tcPr>
            <w:tcW w:w="8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62,508</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228,807</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291,315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11"/>
          </w:tcPr>
          <w:p>
            <w:pPr>
              <w:jc w:val="center"/>
              <w:ind w:left="632"/>
              <w:spacing w:after="0"/>
              <w:rPr>
                <w:sz w:val="20"/>
                <w:szCs w:val="20"/>
                <w:color w:val="auto"/>
              </w:rPr>
            </w:pPr>
            <w:r>
              <w:rPr>
                <w:rFonts w:ascii="Arial" w:cs="Arial" w:eastAsia="Arial" w:hAnsi="Arial"/>
                <w:sz w:val="14"/>
                <w:szCs w:val="14"/>
                <w:b w:val="1"/>
                <w:bCs w:val="1"/>
                <w:color w:val="auto"/>
                <w:w w:val="93"/>
              </w:rPr>
              <w:t>Fair Value Measurements at September 30, 2017 Using:</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center"/>
              <w:ind w:left="593"/>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equivalents: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FF2FC"/>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19,863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29,756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80" w:type="dxa"/>
            <w:vAlign w:val="bottom"/>
            <w:gridSpan w:val="3"/>
            <w:shd w:val="clear" w:color="auto" w:fill="CFF2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80" w:type="dxa"/>
            <w:vAlign w:val="bottom"/>
            <w:gridSpan w:val="3"/>
            <w:shd w:val="clear" w:color="auto" w:fill="CFF2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60,843</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80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240" w:type="dxa"/>
            <w:vAlign w:val="bottom"/>
            <w:shd w:val="clear" w:color="auto" w:fill="CFF2FC"/>
          </w:tcPr>
          <w:p>
            <w:pPr>
              <w:spacing w:after="0"/>
              <w:rPr>
                <w:sz w:val="19"/>
                <w:szCs w:val="19"/>
                <w:color w:val="auto"/>
              </w:rPr>
            </w:pPr>
          </w:p>
        </w:tc>
        <w:tc>
          <w:tcPr>
            <w:tcW w:w="360" w:type="dxa"/>
            <w:vAlign w:val="bottom"/>
            <w:shd w:val="clear" w:color="auto" w:fill="CFF2FC"/>
          </w:tcPr>
          <w:p>
            <w:pPr>
              <w:spacing w:after="0"/>
              <w:rPr>
                <w:sz w:val="19"/>
                <w:szCs w:val="19"/>
                <w:color w:val="auto"/>
              </w:rPr>
            </w:pPr>
          </w:p>
        </w:tc>
        <w:tc>
          <w:tcPr>
            <w:tcW w:w="1080" w:type="dxa"/>
            <w:vAlign w:val="bottom"/>
            <w:gridSpan w:val="3"/>
            <w:shd w:val="clear" w:color="auto" w:fill="CFF2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2FC"/>
          </w:tcPr>
          <w:p>
            <w:pPr>
              <w:spacing w:after="0"/>
              <w:rPr>
                <w:sz w:val="19"/>
                <w:szCs w:val="19"/>
                <w:color w:val="auto"/>
              </w:rPr>
            </w:pPr>
          </w:p>
        </w:tc>
        <w:tc>
          <w:tcPr>
            <w:tcW w:w="28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12,458</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color w:val="auto"/>
              </w:rPr>
              <w:t>U.S. Agency bonds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top w:val="single" w:sz="8" w:color="CFF2FC"/>
              <w:bottom w:val="single" w:sz="8" w:color="CFF2FC"/>
            </w:tcBorders>
            <w:shd w:val="clear" w:color="auto" w:fill="CFF2FC"/>
          </w:tcPr>
          <w:p>
            <w:pPr>
              <w:spacing w:after="0"/>
              <w:rPr>
                <w:sz w:val="19"/>
                <w:szCs w:val="19"/>
                <w:color w:val="auto"/>
              </w:rPr>
            </w:pPr>
          </w:p>
        </w:tc>
        <w:tc>
          <w:tcPr>
            <w:tcW w:w="80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80,706</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220" w:type="dxa"/>
            <w:vAlign w:val="bottom"/>
            <w:tcBorders>
              <w:top w:val="single" w:sz="8" w:color="auto"/>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199,945</w:t>
            </w:r>
          </w:p>
        </w:tc>
        <w:tc>
          <w:tcPr>
            <w:tcW w:w="240" w:type="dxa"/>
            <w:vAlign w:val="bottom"/>
            <w:tcBorders>
              <w:top w:val="single" w:sz="8" w:color="CFF2FC"/>
              <w:bottom w:val="single" w:sz="8" w:color="CFF2FC"/>
            </w:tcBorders>
            <w:shd w:val="clear" w:color="auto" w:fill="CFF2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2FC"/>
              <w:bottom w:val="single" w:sz="8" w:color="CFF2FC"/>
            </w:tcBorders>
            <w:shd w:val="clear" w:color="auto" w:fill="CFF2FC"/>
          </w:tcPr>
          <w:p>
            <w:pPr>
              <w:spacing w:after="0"/>
              <w:rPr>
                <w:sz w:val="19"/>
                <w:szCs w:val="19"/>
                <w:color w:val="auto"/>
              </w:rPr>
            </w:pPr>
          </w:p>
        </w:tc>
        <w:tc>
          <w:tcPr>
            <w:tcW w:w="60" w:type="dxa"/>
            <w:vAlign w:val="bottom"/>
            <w:tcBorders>
              <w:top w:val="single" w:sz="8" w:color="CFF2FC"/>
              <w:bottom w:val="single" w:sz="8" w:color="CFF2FC"/>
            </w:tcBorders>
            <w:shd w:val="clear" w:color="auto" w:fill="CFF2FC"/>
          </w:tcPr>
          <w:p>
            <w:pPr>
              <w:spacing w:after="0"/>
              <w:rPr>
                <w:sz w:val="19"/>
                <w:szCs w:val="19"/>
                <w:color w:val="auto"/>
              </w:rPr>
            </w:pPr>
          </w:p>
        </w:tc>
        <w:tc>
          <w:tcPr>
            <w:tcW w:w="280" w:type="dxa"/>
            <w:vAlign w:val="bottom"/>
            <w:tcBorders>
              <w:top w:val="single" w:sz="8" w:color="auto"/>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280,651</w:t>
            </w: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2FC"/>
          </w:tcPr>
          <w:p>
            <w:pPr>
              <w:spacing w:after="0"/>
              <w:rPr>
                <w:sz w:val="20"/>
                <w:szCs w:val="20"/>
                <w:color w:val="auto"/>
              </w:rPr>
            </w:pPr>
            <w:r>
              <w:rPr>
                <w:rFonts w:ascii="Arial" w:cs="Arial" w:eastAsia="Arial" w:hAnsi="Arial"/>
                <w:sz w:val="18"/>
                <w:szCs w:val="18"/>
                <w:color w:val="auto"/>
              </w:rPr>
              <w:t>Warrant liability</w:t>
            </w:r>
          </w:p>
        </w:tc>
        <w:tc>
          <w:tcPr>
            <w:tcW w:w="1040" w:type="dxa"/>
            <w:vAlign w:val="bottom"/>
            <w:gridSpan w:val="2"/>
            <w:shd w:val="clear" w:color="auto" w:fill="CFF2FC"/>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2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FF2FC"/>
          </w:tcPr>
          <w:p>
            <w:pPr>
              <w:spacing w:after="0"/>
              <w:rPr>
                <w:sz w:val="19"/>
                <w:szCs w:val="19"/>
                <w:color w:val="auto"/>
              </w:rPr>
            </w:pPr>
          </w:p>
        </w:tc>
        <w:tc>
          <w:tcPr>
            <w:tcW w:w="80" w:type="dxa"/>
            <w:vAlign w:val="bottom"/>
            <w:shd w:val="clear" w:color="auto" w:fill="CFF2FC"/>
          </w:tcPr>
          <w:p>
            <w:pPr>
              <w:spacing w:after="0"/>
              <w:rPr>
                <w:sz w:val="19"/>
                <w:szCs w:val="19"/>
                <w:color w:val="auto"/>
              </w:rPr>
            </w:pPr>
          </w:p>
        </w:tc>
        <w:tc>
          <w:tcPr>
            <w:tcW w:w="340" w:type="dxa"/>
            <w:vAlign w:val="bottom"/>
            <w:gridSpan w:val="2"/>
            <w:shd w:val="clear" w:color="auto" w:fill="CFF2FC"/>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807</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FF2FC"/>
            </w:tcBorders>
          </w:tcPr>
          <w:p>
            <w:pPr>
              <w:spacing w:after="0"/>
              <w:rPr>
                <w:sz w:val="20"/>
                <w:szCs w:val="20"/>
                <w:color w:val="auto"/>
              </w:rPr>
            </w:pPr>
            <w:r>
              <w:rPr>
                <w:rFonts w:ascii="Arial" w:cs="Arial" w:eastAsia="Arial" w:hAnsi="Arial"/>
                <w:sz w:val="18"/>
                <w:szCs w:val="18"/>
                <w:color w:val="auto"/>
              </w:rPr>
              <w:t>Series 1 nonconvertible preferred stock</w:t>
            </w:r>
          </w:p>
        </w:tc>
        <w:tc>
          <w:tcPr>
            <w:tcW w:w="800" w:type="dxa"/>
            <w:vAlign w:val="bottom"/>
            <w:tcBorders>
              <w:bottom w:val="single" w:sz="8" w:color="CFF2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FF2FC"/>
            </w:tcBorders>
          </w:tcPr>
          <w:p>
            <w:pPr>
              <w:spacing w:after="0"/>
              <w:rPr>
                <w:sz w:val="19"/>
                <w:szCs w:val="19"/>
                <w:color w:val="auto"/>
              </w:rPr>
            </w:pPr>
          </w:p>
        </w:tc>
        <w:tc>
          <w:tcPr>
            <w:tcW w:w="80" w:type="dxa"/>
            <w:vAlign w:val="bottom"/>
            <w:tcBorders>
              <w:bottom w:val="single" w:sz="8" w:color="CFF2FC"/>
            </w:tcBorders>
          </w:tcPr>
          <w:p>
            <w:pPr>
              <w:spacing w:after="0"/>
              <w:rPr>
                <w:sz w:val="19"/>
                <w:szCs w:val="19"/>
                <w:color w:val="auto"/>
              </w:rPr>
            </w:pPr>
          </w:p>
        </w:tc>
        <w:tc>
          <w:tcPr>
            <w:tcW w:w="60" w:type="dxa"/>
            <w:vAlign w:val="bottom"/>
            <w:tcBorders>
              <w:bottom w:val="single" w:sz="8" w:color="CFF2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Borders>
              <w:bottom w:val="single" w:sz="8" w:color="CFF2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Borders>
              <w:bottom w:val="single" w:sz="8" w:color="CFF2FC"/>
            </w:tcBorders>
            <w:shd w:val="clear" w:color="auto" w:fill="CFF2FC"/>
          </w:tcPr>
          <w:p>
            <w:pPr>
              <w:spacing w:after="0"/>
              <w:rPr>
                <w:sz w:val="19"/>
                <w:szCs w:val="19"/>
                <w:color w:val="auto"/>
              </w:rPr>
            </w:pPr>
          </w:p>
        </w:tc>
        <w:tc>
          <w:tcPr>
            <w:tcW w:w="800" w:type="dxa"/>
            <w:vAlign w:val="bottom"/>
            <w:tcBorders>
              <w:bottom w:val="single" w:sz="8" w:color="CFF2FC"/>
            </w:tcBorders>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220" w:type="dxa"/>
            <w:vAlign w:val="bottom"/>
            <w:tcBorders>
              <w:bottom w:val="single" w:sz="8" w:color="auto"/>
            </w:tcBorders>
            <w:shd w:val="clear" w:color="auto" w:fill="CFF2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2FC"/>
            </w:tcBorders>
            <w:shd w:val="clear" w:color="auto" w:fill="CFF2FC"/>
          </w:tcPr>
          <w:p>
            <w:pPr>
              <w:spacing w:after="0"/>
              <w:rPr>
                <w:sz w:val="19"/>
                <w:szCs w:val="19"/>
                <w:color w:val="auto"/>
              </w:rPr>
            </w:pPr>
          </w:p>
        </w:tc>
        <w:tc>
          <w:tcPr>
            <w:tcW w:w="360" w:type="dxa"/>
            <w:vAlign w:val="bottom"/>
            <w:tcBorders>
              <w:bottom w:val="single" w:sz="8" w:color="auto"/>
            </w:tcBorders>
            <w:shd w:val="clear" w:color="auto" w:fill="CFF2FC"/>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Borders>
              <w:bottom w:val="single" w:sz="8" w:color="CFF2FC"/>
            </w:tcBorders>
            <w:shd w:val="clear" w:color="auto" w:fill="CFF2FC"/>
          </w:tcPr>
          <w:p>
            <w:pPr>
              <w:spacing w:after="0"/>
              <w:rPr>
                <w:sz w:val="19"/>
                <w:szCs w:val="19"/>
                <w:color w:val="auto"/>
              </w:rPr>
            </w:pPr>
          </w:p>
        </w:tc>
        <w:tc>
          <w:tcPr>
            <w:tcW w:w="80" w:type="dxa"/>
            <w:vAlign w:val="bottom"/>
            <w:tcBorders>
              <w:bottom w:val="single" w:sz="8" w:color="CFF2FC"/>
            </w:tcBorders>
            <w:shd w:val="clear" w:color="auto" w:fill="CFF2FC"/>
          </w:tcPr>
          <w:p>
            <w:pPr>
              <w:spacing w:after="0"/>
              <w:rPr>
                <w:sz w:val="19"/>
                <w:szCs w:val="19"/>
                <w:color w:val="auto"/>
              </w:rPr>
            </w:pPr>
          </w:p>
        </w:tc>
        <w:tc>
          <w:tcPr>
            <w:tcW w:w="60" w:type="dxa"/>
            <w:vAlign w:val="bottom"/>
            <w:tcBorders>
              <w:bottom w:val="single" w:sz="8" w:color="CFF2FC"/>
            </w:tcBorders>
            <w:shd w:val="clear" w:color="auto" w:fill="CFF2FC"/>
          </w:tcPr>
          <w:p>
            <w:pPr>
              <w:spacing w:after="0"/>
              <w:rPr>
                <w:sz w:val="19"/>
                <w:szCs w:val="19"/>
                <w:color w:val="auto"/>
              </w:rPr>
            </w:pPr>
          </w:p>
        </w:tc>
        <w:tc>
          <w:tcPr>
            <w:tcW w:w="280" w:type="dxa"/>
            <w:vAlign w:val="bottom"/>
            <w:tcBorders>
              <w:bottom w:val="single" w:sz="8" w:color="auto"/>
            </w:tcBorders>
            <w:shd w:val="clear" w:color="auto" w:fill="CFF2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Borders>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2018 and 2017, there were no transfers between Level 1, Level 2 and Level 3.</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September 30, 2017, the Company’s warrant liability was comprised of the value of warrants for the purchase of its Series 1 nonconvertible preferred stock. These warrants were financial instruments that might have required a transfer of assets because of the liquidation features in the contract and were therefore recorded as liabilities and measured at fair value. These warrants expired on October 4, 2017, and are therefore no longer outstanding. The outstanding shares of Series 1 nonconvertible preferred stock are also measured at fair value. The fair value of both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warrant liability and Series 1 nonconvertible preferred stock are recognized in other income (expense), net in the consolidated statements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warrant liability and Series 1 nonconvertible preferred stock using probability-weighted discounted cash flow include the following significant unobservable inputs: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Range (Weighted Average)</w:t>
            </w:r>
          </w:p>
        </w:tc>
        <w:tc>
          <w:tcPr>
            <w:tcW w:w="80" w:type="dxa"/>
            <w:vAlign w:val="bottom"/>
          </w:tcPr>
          <w:p>
            <w:pPr>
              <w:spacing w:after="0"/>
              <w:rPr>
                <w:sz w:val="14"/>
                <w:szCs w:val="14"/>
                <w:color w:val="auto"/>
              </w:rPr>
            </w:pPr>
          </w:p>
        </w:tc>
      </w:tr>
      <w:tr>
        <w:trPr>
          <w:trHeight w:val="252"/>
        </w:trPr>
        <w:tc>
          <w:tcPr>
            <w:tcW w:w="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ind w:left="40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680" w:type="dxa"/>
            <w:vAlign w:val="bottom"/>
            <w:gridSpan w:val="3"/>
          </w:tcPr>
          <w:p>
            <w:pPr>
              <w:ind w:left="260"/>
              <w:spacing w:after="0"/>
              <w:rPr>
                <w:sz w:val="20"/>
                <w:szCs w:val="20"/>
                <w:color w:val="auto"/>
              </w:rPr>
            </w:pPr>
            <w:r>
              <w:rPr>
                <w:rFonts w:ascii="Arial" w:cs="Arial" w:eastAsia="Arial" w:hAnsi="Arial"/>
                <w:sz w:val="14"/>
                <w:szCs w:val="14"/>
                <w:b w:val="1"/>
                <w:bCs w:val="1"/>
                <w:color w:val="auto"/>
              </w:rPr>
              <w:t>Unobservable Input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6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Warrant liability and Series 1</w:t>
            </w:r>
          </w:p>
        </w:tc>
        <w:tc>
          <w:tcPr>
            <w:tcW w:w="260" w:type="dxa"/>
            <w:vAlign w:val="bottom"/>
            <w:tcBorders>
              <w:top w:val="single" w:sz="8" w:color="CFF0FC"/>
            </w:tcBorders>
            <w:shd w:val="clear" w:color="auto" w:fill="CFF0FC"/>
          </w:tcPr>
          <w:p>
            <w:pPr>
              <w:spacing w:after="0"/>
              <w:rPr>
                <w:sz w:val="17"/>
                <w:szCs w:val="17"/>
                <w:color w:val="auto"/>
              </w:rPr>
            </w:pPr>
          </w:p>
        </w:tc>
        <w:tc>
          <w:tcPr>
            <w:tcW w:w="3260" w:type="dxa"/>
            <w:vAlign w:val="bottom"/>
            <w:tcBorders>
              <w:top w:val="single" w:sz="8" w:color="auto"/>
            </w:tcBorders>
            <w:shd w:val="clear" w:color="auto" w:fill="CFF0FC"/>
          </w:tcPr>
          <w:p>
            <w:pPr>
              <w:spacing w:after="0" w:line="205" w:lineRule="exact"/>
              <w:rPr>
                <w:sz w:val="20"/>
                <w:szCs w:val="20"/>
                <w:color w:val="auto"/>
              </w:rPr>
            </w:pPr>
            <w:r>
              <w:rPr>
                <w:rFonts w:ascii="Arial" w:cs="Arial" w:eastAsia="Arial" w:hAnsi="Arial"/>
                <w:sz w:val="18"/>
                <w:szCs w:val="18"/>
                <w:color w:val="auto"/>
              </w:rPr>
              <w:t>Probabilities of payout</w:t>
            </w:r>
          </w:p>
        </w:tc>
        <w:tc>
          <w:tcPr>
            <w:tcW w:w="160" w:type="dxa"/>
            <w:vAlign w:val="bottom"/>
            <w:tcBorders>
              <w:top w:val="single" w:sz="8" w:color="CFF0FC"/>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center"/>
              <w:spacing w:after="0" w:line="205" w:lineRule="exact"/>
              <w:rPr>
                <w:sz w:val="20"/>
                <w:szCs w:val="20"/>
                <w:color w:val="auto"/>
              </w:rPr>
            </w:pPr>
            <w:r>
              <w:rPr>
                <w:rFonts w:ascii="Arial" w:cs="Arial" w:eastAsia="Arial" w:hAnsi="Arial"/>
                <w:sz w:val="18"/>
                <w:szCs w:val="18"/>
                <w:color w:val="auto"/>
                <w:w w:val="94"/>
              </w:rPr>
              <w:t>0%-65%</w:t>
            </w: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nonconvertible preferred stock</w:t>
            </w:r>
          </w:p>
        </w:tc>
        <w:tc>
          <w:tcPr>
            <w:tcW w:w="26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80" w:type="dxa"/>
            <w:vAlign w:val="bottom"/>
            <w:gridSpan w:val="3"/>
          </w:tcPr>
          <w:p>
            <w:pPr>
              <w:ind w:left="260"/>
              <w:spacing w:after="0"/>
              <w:rPr>
                <w:sz w:val="20"/>
                <w:szCs w:val="20"/>
                <w:color w:val="auto"/>
              </w:rPr>
            </w:pPr>
            <w:r>
              <w:rPr>
                <w:rFonts w:ascii="Arial" w:cs="Arial" w:eastAsia="Arial" w:hAnsi="Arial"/>
                <w:sz w:val="18"/>
                <w:szCs w:val="18"/>
                <w:color w:val="auto"/>
              </w:rPr>
              <w:t>Discount rate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5.25%</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Warrant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Nonconvertible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23"/>
        </w:trPr>
        <w:tc>
          <w:tcPr>
            <w:tcW w:w="4860" w:type="dxa"/>
            <w:vAlign w:val="bottom"/>
            <w:vMerge w:val="continue"/>
          </w:tcPr>
          <w:p>
            <w:pPr>
              <w:spacing w:after="0"/>
              <w:rPr>
                <w:sz w:val="19"/>
                <w:szCs w:val="19"/>
                <w:color w:val="auto"/>
              </w:rPr>
            </w:pPr>
          </w:p>
        </w:tc>
        <w:tc>
          <w:tcPr>
            <w:tcW w:w="1020" w:type="dxa"/>
            <w:vAlign w:val="bottom"/>
            <w:tcBorders>
              <w:top w:val="single" w:sz="8" w:color="auto"/>
            </w:tcBorders>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Warrants exercised</w:t>
            </w:r>
          </w:p>
        </w:tc>
        <w:tc>
          <w:tcPr>
            <w:tcW w:w="10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(766)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40"/>
              <w:spacing w:after="0"/>
              <w:rPr>
                <w:sz w:val="20"/>
                <w:szCs w:val="20"/>
                <w:color w:val="auto"/>
              </w:rPr>
            </w:pPr>
            <w:r>
              <w:rPr>
                <w:rFonts w:ascii="Arial" w:cs="Arial" w:eastAsia="Arial" w:hAnsi="Arial"/>
                <w:sz w:val="18"/>
                <w:szCs w:val="18"/>
                <w:color w:val="auto"/>
              </w:rPr>
              <w:t>Warrants expired</w:t>
            </w:r>
          </w:p>
        </w:tc>
        <w:tc>
          <w:tcPr>
            <w:tcW w:w="1020" w:type="dxa"/>
            <w:vAlign w:val="bottom"/>
          </w:tcPr>
          <w:p>
            <w:pPr>
              <w:spacing w:after="0"/>
              <w:rPr>
                <w:sz w:val="19"/>
                <w:szCs w:val="19"/>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June 30, 2018</w:t>
            </w:r>
          </w:p>
        </w:tc>
        <w:tc>
          <w:tcPr>
            <w:tcW w:w="1020" w:type="dxa"/>
            <w:vAlign w:val="bottom"/>
            <w:tcBorders>
              <w:top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and September 30, 2017,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2"/>
              </w:rPr>
              <w:t>June 30, 2018</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ind w:left="20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16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130,355</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(690)</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253,843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September 30, 2017</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right"/>
              <w:ind w:right="480"/>
              <w:spacing w:after="0" w:line="13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Unrealized</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40" w:type="dxa"/>
            <w:vAlign w:val="bottom"/>
            <w:tcBorders>
              <w:top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100" w:type="dxa"/>
            <w:vAlign w:val="bottom"/>
            <w:gridSpan w:val="3"/>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150,841</w:t>
            </w:r>
          </w:p>
        </w:tc>
        <w:tc>
          <w:tcPr>
            <w:tcW w:w="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(119)</w:t>
            </w: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Treasury notes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U.S. Agency bonds</w:t>
            </w:r>
          </w:p>
        </w:tc>
        <w:tc>
          <w:tcPr>
            <w:tcW w:w="1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228,211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2018, marketable securities consisted of short-term marketable securities, which are investments that mature within one year, and long-term marketable securities, with an aggregate fair value of $22,272, which consist of certain U.S. Treasury notes and corporate bonds that have maturities of more than one year but not more than three years.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31"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as well as other long-term liabilities consisted of the following as of June 30, 2018 and September 30, 2017:</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100" w:type="dxa"/>
            <w:vAlign w:val="bottom"/>
            <w:gridSpan w:val="4"/>
          </w:tcPr>
          <w:p>
            <w:pPr>
              <w:jc w:val="right"/>
              <w:ind w:right="1033"/>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preclinical and clinical expenses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3,205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vendor manufacturing</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2,444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9,127</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7,970</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1,493</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0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2,627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180" w:firstLine="8"/>
        <w:spacing w:after="0" w:line="503" w:lineRule="auto"/>
        <w:tabs>
          <w:tab w:leader="none" w:pos="51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Ongoing Collaboration Agreements AbbVie Collaboration</w:t>
      </w:r>
    </w:p>
    <w:p>
      <w:pPr>
        <w:spacing w:after="0" w:line="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$592,000 through June 30, 2018. Since the Company completed all of its performance obligations under the AbbVie Agreement by the end of fiscal 2011, all milestone payments received since then have been recognized as revenue when the milestones were achieved by AbbVie.</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 is also receiving annually tiered royalties per Company protease product ranging from ten percent up to twenty percent, or on a blended basis from the low double digits up to the high teens, on the portion of AbbVie’s calendar year net sales of each HCV regimen that is allocated to the protease inhibitor product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00" w:type="dxa"/>
            <w:vAlign w:val="bottom"/>
          </w:tcPr>
          <w:p>
            <w:pPr>
              <w:jc w:val="center"/>
              <w:ind w:left="1117"/>
              <w:spacing w:after="0"/>
              <w:rPr>
                <w:sz w:val="20"/>
                <w:szCs w:val="20"/>
                <w:color w:val="auto"/>
              </w:rPr>
            </w:pPr>
            <w:r>
              <w:rPr>
                <w:rFonts w:ascii="Arial" w:cs="Arial" w:eastAsia="Arial" w:hAnsi="Arial"/>
                <w:sz w:val="14"/>
                <w:szCs w:val="14"/>
                <w:b w:val="1"/>
                <w:bCs w:val="1"/>
                <w:color w:val="auto"/>
                <w:w w:val="93"/>
              </w:rPr>
              <w:t>Calendar Year Net Sales</w:t>
            </w: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80" w:type="dxa"/>
            <w:vAlign w:val="bottom"/>
            <w:gridSpan w:val="2"/>
          </w:tcPr>
          <w:p>
            <w:pPr>
              <w:ind w:left="1020"/>
              <w:spacing w:after="0"/>
              <w:rPr>
                <w:sz w:val="20"/>
                <w:szCs w:val="20"/>
                <w:color w:val="auto"/>
              </w:rPr>
            </w:pPr>
            <w:r>
              <w:rPr>
                <w:rFonts w:ascii="Arial" w:cs="Arial" w:eastAsia="Arial" w:hAnsi="Arial"/>
                <w:sz w:val="14"/>
                <w:szCs w:val="14"/>
                <w:b w:val="1"/>
                <w:bCs w:val="1"/>
                <w:color w:val="auto"/>
              </w:rPr>
              <w:t>Royalty Tier</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500" w:type="dxa"/>
            <w:vAlign w:val="bottom"/>
            <w:tcBorders>
              <w:top w:val="single" w:sz="8" w:color="auto"/>
            </w:tcBorders>
          </w:tcPr>
          <w:p>
            <w:pPr>
              <w:jc w:val="center"/>
              <w:ind w:left="113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2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43"/>
        </w:trPr>
        <w:tc>
          <w:tcPr>
            <w:tcW w:w="172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up to $500,000</w:t>
            </w:r>
          </w:p>
        </w:tc>
        <w:tc>
          <w:tcPr>
            <w:tcW w:w="4400" w:type="dxa"/>
            <w:vAlign w:val="bottom"/>
            <w:gridSpan w:val="3"/>
            <w:shd w:val="clear" w:color="auto" w:fill="CFF0FC"/>
          </w:tcPr>
          <w:p>
            <w:pPr>
              <w:jc w:val="center"/>
              <w:ind w:left="1510"/>
              <w:spacing w:after="0"/>
              <w:rPr>
                <w:sz w:val="20"/>
                <w:szCs w:val="20"/>
                <w:color w:val="auto"/>
              </w:rPr>
            </w:pPr>
            <w:r>
              <w:rPr>
                <w:rFonts w:ascii="Arial" w:cs="Arial" w:eastAsia="Arial" w:hAnsi="Arial"/>
                <w:sz w:val="18"/>
                <w:szCs w:val="18"/>
                <w:color w:val="auto"/>
                <w:w w:val="88"/>
              </w:rPr>
              <w:t>10%</w:t>
            </w:r>
          </w:p>
        </w:tc>
        <w:tc>
          <w:tcPr>
            <w:tcW w:w="80" w:type="dxa"/>
            <w:vAlign w:val="bottom"/>
            <w:shd w:val="clear" w:color="auto" w:fill="CFF0FC"/>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5220" w:type="dxa"/>
            <w:vAlign w:val="bottom"/>
            <w:gridSpan w:val="2"/>
          </w:tcPr>
          <w:p>
            <w:pPr>
              <w:ind w:left="1720"/>
              <w:spacing w:after="0"/>
              <w:rPr>
                <w:sz w:val="20"/>
                <w:szCs w:val="20"/>
                <w:color w:val="auto"/>
              </w:rPr>
            </w:pPr>
            <w:r>
              <w:rPr>
                <w:rFonts w:ascii="Arial" w:cs="Arial" w:eastAsia="Arial" w:hAnsi="Arial"/>
                <w:sz w:val="18"/>
                <w:szCs w:val="18"/>
                <w:color w:val="auto"/>
              </w:rPr>
              <w:t>from $500,000 up to $750,000</w:t>
            </w:r>
          </w:p>
        </w:tc>
        <w:tc>
          <w:tcPr>
            <w:tcW w:w="4400" w:type="dxa"/>
            <w:vAlign w:val="bottom"/>
            <w:gridSpan w:val="3"/>
          </w:tcPr>
          <w:p>
            <w:pPr>
              <w:jc w:val="center"/>
              <w:ind w:left="1510"/>
              <w:spacing w:after="0"/>
              <w:rPr>
                <w:sz w:val="20"/>
                <w:szCs w:val="20"/>
                <w:color w:val="auto"/>
              </w:rPr>
            </w:pPr>
            <w:r>
              <w:rPr>
                <w:rFonts w:ascii="Arial" w:cs="Arial" w:eastAsia="Arial" w:hAnsi="Arial"/>
                <w:sz w:val="18"/>
                <w:szCs w:val="18"/>
                <w:color w:val="auto"/>
                <w:w w:val="88"/>
              </w:rPr>
              <w:t>12%</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from $750,000 up to $1,000,000</w:t>
            </w:r>
          </w:p>
        </w:tc>
        <w:tc>
          <w:tcPr>
            <w:tcW w:w="4400" w:type="dxa"/>
            <w:vAlign w:val="bottom"/>
            <w:gridSpan w:val="3"/>
            <w:shd w:val="clear" w:color="auto" w:fill="CFF0FC"/>
          </w:tcPr>
          <w:p>
            <w:pPr>
              <w:jc w:val="center"/>
              <w:ind w:left="1510"/>
              <w:spacing w:after="0"/>
              <w:rPr>
                <w:sz w:val="20"/>
                <w:szCs w:val="20"/>
                <w:color w:val="auto"/>
              </w:rPr>
            </w:pPr>
            <w:r>
              <w:rPr>
                <w:rFonts w:ascii="Arial" w:cs="Arial" w:eastAsia="Arial" w:hAnsi="Arial"/>
                <w:sz w:val="18"/>
                <w:szCs w:val="18"/>
                <w:color w:val="auto"/>
                <w:w w:val="88"/>
              </w:rPr>
              <w:t>14%</w:t>
            </w:r>
          </w:p>
        </w:tc>
        <w:tc>
          <w:tcPr>
            <w:tcW w:w="80" w:type="dxa"/>
            <w:vAlign w:val="bottom"/>
            <w:shd w:val="clear" w:color="auto" w:fill="CFF0FC"/>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5220" w:type="dxa"/>
            <w:vAlign w:val="bottom"/>
            <w:gridSpan w:val="2"/>
          </w:tcPr>
          <w:p>
            <w:pPr>
              <w:ind w:left="1720"/>
              <w:spacing w:after="0"/>
              <w:rPr>
                <w:sz w:val="20"/>
                <w:szCs w:val="20"/>
                <w:color w:val="auto"/>
              </w:rPr>
            </w:pPr>
            <w:r>
              <w:rPr>
                <w:rFonts w:ascii="Arial" w:cs="Arial" w:eastAsia="Arial" w:hAnsi="Arial"/>
                <w:sz w:val="18"/>
                <w:szCs w:val="18"/>
                <w:color w:val="auto"/>
              </w:rPr>
              <w:t>from $1,000,000 up to $2,500,000</w:t>
            </w:r>
          </w:p>
        </w:tc>
        <w:tc>
          <w:tcPr>
            <w:tcW w:w="4400" w:type="dxa"/>
            <w:vAlign w:val="bottom"/>
            <w:gridSpan w:val="3"/>
          </w:tcPr>
          <w:p>
            <w:pPr>
              <w:jc w:val="center"/>
              <w:ind w:left="1510"/>
              <w:spacing w:after="0"/>
              <w:rPr>
                <w:sz w:val="20"/>
                <w:szCs w:val="20"/>
                <w:color w:val="auto"/>
              </w:rPr>
            </w:pPr>
            <w:r>
              <w:rPr>
                <w:rFonts w:ascii="Arial" w:cs="Arial" w:eastAsia="Arial" w:hAnsi="Arial"/>
                <w:sz w:val="18"/>
                <w:szCs w:val="18"/>
                <w:color w:val="auto"/>
                <w:w w:val="88"/>
              </w:rPr>
              <w:t>17%</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greater than or equal to $2,500,000</w:t>
            </w:r>
          </w:p>
        </w:tc>
        <w:tc>
          <w:tcPr>
            <w:tcW w:w="4400" w:type="dxa"/>
            <w:vAlign w:val="bottom"/>
            <w:gridSpan w:val="3"/>
            <w:shd w:val="clear" w:color="auto" w:fill="CFF0FC"/>
          </w:tcPr>
          <w:p>
            <w:pPr>
              <w:jc w:val="center"/>
              <w:ind w:left="1510"/>
              <w:spacing w:after="0"/>
              <w:rPr>
                <w:sz w:val="20"/>
                <w:szCs w:val="20"/>
                <w:color w:val="auto"/>
              </w:rPr>
            </w:pPr>
            <w:r>
              <w:rPr>
                <w:rFonts w:ascii="Arial" w:cs="Arial" w:eastAsia="Arial" w:hAnsi="Arial"/>
                <w:sz w:val="18"/>
                <w:szCs w:val="18"/>
                <w:color w:val="auto"/>
                <w:w w:val="88"/>
              </w:rPr>
              <w:t>20%</w:t>
            </w:r>
          </w:p>
        </w:tc>
        <w:tc>
          <w:tcPr>
            <w:tcW w:w="80" w:type="dxa"/>
            <w:vAlign w:val="bottom"/>
            <w:shd w:val="clear" w:color="auto" w:fill="CFF0FC"/>
          </w:tcPr>
          <w:p>
            <w:pPr>
              <w:spacing w:after="0"/>
              <w:rPr>
                <w:sz w:val="21"/>
                <w:szCs w:val="21"/>
                <w:color w:val="auto"/>
              </w:rPr>
            </w:pPr>
          </w:p>
        </w:tc>
        <w:tc>
          <w:tcPr>
            <w:tcW w:w="1740" w:type="dxa"/>
            <w:vAlign w:val="bottom"/>
          </w:tcPr>
          <w:p>
            <w:pPr>
              <w:spacing w:after="0"/>
              <w:rPr>
                <w:sz w:val="21"/>
                <w:szCs w:val="21"/>
                <w:color w:val="auto"/>
              </w:rPr>
            </w:pPr>
          </w:p>
        </w:tc>
      </w:tr>
      <w:tr>
        <w:trPr>
          <w:trHeight w:val="864"/>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27"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During the nine months ended June 30, 2018, the Company earned and recognized milestone revenue of $15,000 upon AbbVie’s achievement of commercialization regulatory approval in Japan for MAVIRET™.</w:t>
      </w:r>
    </w:p>
    <w:p>
      <w:pPr>
        <w:spacing w:after="0" w:line="27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October and November 2010, the Company issued warrants to purchase up to a total of 2,000 shares of Series 1 nonconvertible preferred stock. As these warrants were financial instruments that might have required the Company to transfer assets, these instruments were classified as liabilities. The following table summarizes the activity of the warrants to purchase Series 1 nonconvertible preferred stock:</w:t>
      </w: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Outstanding Warrants</w:t>
            </w:r>
          </w:p>
        </w:tc>
        <w:tc>
          <w:tcPr>
            <w:tcW w:w="1960" w:type="dxa"/>
            <w:vAlign w:val="bottom"/>
            <w:gridSpan w:val="3"/>
          </w:tcPr>
          <w:p>
            <w:pPr>
              <w:ind w:left="200"/>
              <w:spacing w:after="0"/>
              <w:rPr>
                <w:sz w:val="20"/>
                <w:szCs w:val="20"/>
                <w:color w:val="auto"/>
              </w:rPr>
            </w:pPr>
            <w:r>
              <w:rPr>
                <w:rFonts w:ascii="Arial" w:cs="Arial" w:eastAsia="Arial" w:hAnsi="Arial"/>
                <w:sz w:val="14"/>
                <w:szCs w:val="14"/>
                <w:b w:val="1"/>
                <w:bCs w:val="1"/>
                <w:color w:val="auto"/>
                <w:w w:val="94"/>
              </w:rPr>
              <w:t>Weighted Average Exercise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900" w:type="dxa"/>
            <w:vAlign w:val="bottom"/>
            <w:tcBorders>
              <w:bottom w:val="single" w:sz="8" w:color="auto"/>
            </w:tcBorders>
            <w:gridSpan w:val="2"/>
            <w:vMerge w:val="continue"/>
          </w:tcPr>
          <w:p>
            <w:pPr>
              <w:spacing w:after="0"/>
              <w:rPr>
                <w:sz w:val="14"/>
                <w:szCs w:val="14"/>
                <w:color w:val="auto"/>
              </w:rPr>
            </w:pPr>
          </w:p>
        </w:tc>
        <w:tc>
          <w:tcPr>
            <w:tcW w:w="15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w w:val="92"/>
              </w:rPr>
              <w:t>Price Per Share</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3440" w:type="dxa"/>
            <w:vAlign w:val="bottom"/>
            <w:gridSpan w:val="3"/>
          </w:tcPr>
          <w:p>
            <w:pPr>
              <w:ind w:left="760"/>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1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(978)</w:t>
            </w:r>
          </w:p>
        </w:tc>
        <w:tc>
          <w:tcPr>
            <w:tcW w:w="154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w:t>
            </w:r>
          </w:p>
        </w:tc>
        <w:tc>
          <w:tcPr>
            <w:tcW w:w="1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Outstanding as of June 30, 2018</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54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2018, 1,931 shares of Series 1 nonconvertible preferred stock were issued and outstanding. As this preferred stock may require the Company to transfer a fixed amount of assets, these shares are classified as liabilities.</w:t>
      </w:r>
    </w:p>
    <w:p>
      <w:pPr>
        <w:spacing w:after="0" w:line="200" w:lineRule="exact"/>
        <w:rPr>
          <w:sz w:val="20"/>
          <w:szCs w:val="20"/>
          <w:color w:val="auto"/>
        </w:rPr>
      </w:pP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has granted stock-based awards, including stock options, restricted stock units, performance share units, and relative total stockholder return units, under its 2012 Equity Incentive Plan (the “2012 Plan”). The Company also has outstanding stock-based awards under its 1995 Equity Incentive Plan (the “1995 Plan”), but is no longer granting awards under this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including performance-based options, for the year-to-date period ending June 30,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Issuable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Price Per Share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37,821</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585</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2018</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4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4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June 30, 2018</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131,696</w:t>
            </w: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320" w:type="dxa"/>
            <w:vAlign w:val="bottom"/>
          </w:tcPr>
          <w:p>
            <w:pPr>
              <w:jc w:val="right"/>
              <w:ind w:right="437"/>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200% of the target number. The following table summarizes PSU and rTSRU activity (at target) for the year-to-date period ending June 30, 2018:</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gridSpan w:val="3"/>
          </w:tcPr>
          <w:p>
            <w:pPr>
              <w:jc w:val="right"/>
              <w:ind w:right="13"/>
              <w:spacing w:after="0"/>
              <w:rPr>
                <w:sz w:val="20"/>
                <w:szCs w:val="20"/>
                <w:color w:val="auto"/>
              </w:rPr>
            </w:pPr>
            <w:r>
              <w:rPr>
                <w:rFonts w:ascii="Arial" w:cs="Arial" w:eastAsia="Arial" w:hAnsi="Arial"/>
                <w:sz w:val="14"/>
                <w:szCs w:val="14"/>
                <w:b w:val="1"/>
                <w:bCs w:val="1"/>
                <w:color w:val="auto"/>
              </w:rPr>
              <w:t>PSUs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60" w:type="dxa"/>
            <w:vAlign w:val="bottom"/>
            <w:gridSpan w:val="5"/>
          </w:tcPr>
          <w:p>
            <w:pPr>
              <w:ind w:left="12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4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9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Value Per Share</w:t>
            </w:r>
          </w:p>
        </w:tc>
        <w:tc>
          <w:tcPr>
            <w:tcW w:w="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Value Per Share</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36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77.93</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(25)</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2018</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total of 80% of the target PSUs and 192.91% of the target rTSRUs granted in December 2015 vested during the three months ended March 31, 2018, resulting in the issuance of an aggregate of 68 common shares, net of share withholding.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of these awards is determined based on the intrinsic value of the stock on the date of grant and will be recognized as stock-based compensation expense over the requisite service period. The following table summarizes the restricted stock unit activity for the year-to-date period ending June 30, 2018:</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Restricted Stock</w:t>
            </w: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rPr>
              <w:t>Units</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1"/>
              </w:rPr>
              <w:t>Value Per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3200" w:type="dxa"/>
            <w:vAlign w:val="bottom"/>
            <w:gridSpan w:val="5"/>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2017</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June 30, 2018</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June 30, 2018 and 2017, the Company recognized the following stock-based compensation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8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Nine Months Ended</w:t>
            </w:r>
          </w:p>
        </w:tc>
        <w:tc>
          <w:tcPr>
            <w:tcW w:w="1740" w:type="dxa"/>
            <w:vAlign w:val="bottom"/>
          </w:tcPr>
          <w:p>
            <w:pPr>
              <w:spacing w:after="0"/>
              <w:rPr>
                <w:sz w:val="15"/>
                <w:szCs w:val="15"/>
                <w:color w:val="auto"/>
              </w:rPr>
            </w:pPr>
          </w:p>
        </w:tc>
      </w:tr>
      <w:tr>
        <w:trPr>
          <w:trHeight w:val="171"/>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2,998</w:t>
            </w: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78"/>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76"/>
        </w:trPr>
        <w:tc>
          <w:tcPr>
            <w:tcW w:w="3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3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7,797</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2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bottom w:val="single" w:sz="8" w:color="CFF0FC"/>
            </w:tcBorders>
          </w:tcPr>
          <w:p>
            <w:pPr>
              <w:spacing w:after="0"/>
              <w:rPr>
                <w:sz w:val="19"/>
                <w:szCs w:val="19"/>
                <w:color w:val="auto"/>
              </w:rPr>
            </w:pPr>
          </w:p>
        </w:tc>
      </w:tr>
      <w:tr>
        <w:trPr>
          <w:trHeight w:val="223"/>
        </w:trPr>
        <w:tc>
          <w:tcPr>
            <w:tcW w:w="3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11,735</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nine months ended June 30, 2018 and 2017, the Company recognized stock-based compensation expense for PSUs and performance-based options upon achievement of performance-based targets that occurred during their respective periods. The expense for time-based stock options and restricted stock units reflects time-based vesting during the periods presented.</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discussed in Note 2, the Company adopted ASU 2016-09 during the three months ended December 31, 2017. ASU 2016-09 intends to simplify several aspects of accounting for share-based payment transactions, including the income tax consequences, classification of awards as either equity awards or liability awards, a choice to recognize gross stock compensation expense with actual forfeitures recognized as they occur, as well as certain classifications on the statement of cash flows. As a result of the adoption, 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will present excess tax benefits, if any, as part of cash flows from operating activities. The Company elected to adopt this change on a prospective basis and, therefore, excess tax benefits from prior periods in the statement of cash flow were not retroactively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June 30, 2018, the Company had an aggregate of $33,853 of unrecognized stock-based compensation cost, which is expected to be recognized over a weighted average period of 2.3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331"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for the three and nine months ended June 30, 2018 and 2017 was calculated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20" w:type="dxa"/>
            <w:vAlign w:val="bottom"/>
            <w:gridSpan w:val="5"/>
          </w:tcPr>
          <w:p>
            <w:pPr>
              <w:jc w:val="right"/>
              <w:ind w:right="194"/>
              <w:spacing w:after="0" w:line="155" w:lineRule="exact"/>
              <w:rPr>
                <w:sz w:val="20"/>
                <w:szCs w:val="20"/>
                <w:color w:val="auto"/>
              </w:rPr>
            </w:pPr>
            <w:r>
              <w:rPr>
                <w:rFonts w:ascii="Arial" w:cs="Arial" w:eastAsia="Arial" w:hAnsi="Arial"/>
                <w:sz w:val="14"/>
                <w:szCs w:val="14"/>
                <w:b w:val="1"/>
                <w:bCs w:val="1"/>
                <w:color w:val="auto"/>
                <w:w w:val="93"/>
              </w:rPr>
              <w:t>(in thousands, except per share data)</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(8,426)</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(18,798)</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19,303</w:t>
            </w:r>
          </w:p>
        </w:tc>
        <w:tc>
          <w:tcPr>
            <w:tcW w:w="3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19,212</w:t>
            </w: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20,288</w:t>
            </w:r>
          </w:p>
        </w:tc>
        <w:tc>
          <w:tcPr>
            <w:tcW w:w="5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(8,426)</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44,536</w:t>
            </w:r>
          </w:p>
        </w:tc>
        <w:tc>
          <w:tcPr>
            <w:tcW w:w="78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(18,798)</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19,303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19,212</w:t>
            </w: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CFF0FC"/>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Anti-dilutive common stock equivalents excluded from above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275"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three months ended June 30, 2018, the Company recorded income tax expense of $(3,690) and for the comparable period in 2017, recorded an income tax benefit of $4,103, both of which were attributable to the Company’s domestic operations. Income tax expense for the three months ended June 30, 2018 was driven by the Company’s pre-tax income during the quarter which increased from the prior comparable quarter due to an increase in royalties earned from the AbbVie Agreement. During the three months ended June 30, 2017, the Company’s income tax benefit was driven by the Company’s pre-tax loss during the quarter.</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the nine months ended June 30, 2018, the Company recorded income tax expense of $(12,704) and for the comparable period in 2017, recorded an income tax benefit of $9,210, representing effective tax rates of 22.2% and 32.9%, respectively. Income tax expense for the nine months ended June 30, 2018, was driven by the Company’s pre-tax income for the year which increased from the prior comparable period due to an increase in royalties and milestones earned under the AbbVie Agreement. The effective tax rate of 22.2% differs from the federal statutory rate of 21.0% due to the revaluation adjustment against deferred tax assets due to a decrease in the federal corporate income tax rate as enacted under the U.S. Tax Cuts and Jobs Act (the “Tax Act”), offset by federal research and development tax credits and excess tax benefits from stock option exercises and restricted stock units vesting during the first nine months of 2018. During the nine months ended June 30, 2017, the Company’s income tax benefit was driven by the Company’s pre-tax loss during the first half of 2017. The effective tax rate of 32.9% differs from the prior year federal statutory rate of 35.0% due to federal research and development tax credits which reduced the Company’s annual effective tax rate slightly below the statutory rate.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Estimates used to prepare our income tax expense are based on the Company’s initial analysis of the Tax Act enacted in December 2017. Given the complexity of the act, anticipated guidance from the U. S. Treasury regarding implementation of the act, and potential for additional guidance from the SEC and the Financial Accounting Standards Board related to the act, these estimates may be adjusted during fiscal 2018 to reflect any such guidance provided. </w:t>
      </w:r>
      <w:r>
        <w:rPr>
          <w:rFonts w:ascii="Arial" w:cs="Arial" w:eastAsia="Arial" w:hAnsi="Arial"/>
          <w:sz w:val="16"/>
          <w:szCs w:val="16"/>
          <w:color w:val="222222"/>
        </w:rPr>
        <w:t>The effective tax rate in 2018 therefore could be affected by adjustments to the provisional amounts recorded under the guidance of SAB 118 for the revaluation of deferred tax assets and liabilities due to the U.S. statutory rate change in 2017.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and state tax matters in future periods as new information becomes available.</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fiscal year 2014 to the present. Earlier years may be examined to the extent that tax credit or net operating loss carryforwards are used in future periods. During 2018, the Company received notice of examination by the Internal Revenue Service (“IRS”) for the year ending September 30, 2016. During the three months ended June 30, 2018, the Company received and agreed to a notice of proposed adjustment from the IRS, the amount of which was immaterial to the financial statements. The Company is in process of finalizing the completion of the IRS audit. The Company has not received notice of examination by any other jurisdictions for any other tax year open under statute.</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had an unrecognized tax benefit of $1,493 and $1,175 as of June 30, 2018 and September 30, 2017, respectively. Unrecognized tax benefits represent tax positions for which reserves have been established. The Company’s policy is to record interest and penalties related to uncertain tax positions as part of its income tax provision.</w:t>
      </w:r>
    </w:p>
    <w:p>
      <w:pPr>
        <w:spacing w:after="0" w:line="285"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has an office and laboratory lease that expires in September 2022. Payment escalation as specified in the lease agreement is accrued such that rent expense is recognized on a straight-line basis over the term of occupancy. The Company recorded rent expense of $1,519 for both the nine months ended June 30, 2018 and 2017.</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lease, the Company has outstanding a $608 letter of credit, collateralized by a money market account. As of June 30, 2018 and September 30, 2017, the Company classified the $608 related to the letter of credit as restricted cash. Additionally, the lease, as amended, included a $598 tenant improvement allowance from the landlord, which is accounted for as a capital lease obligation.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could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has not accrued any liabilities related to such obligations in its financial statements as of June 30, 2018.</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18" w:name="page19"/>
    <w:bookmarkEnd w:id="18"/>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2017 included in our Annual Report on Form 10-K for that fiscal year which is referred to as our 2017 Form 10-K. Please refer to our note regarding forward-looking statements on page 2 of this Form 10-Q, which is incorporated herein by this reference.</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and marketed as part of AbbVie’s new direct-acting antiviral (DAA) regimen under the tradenames MAVYRET™ (U.S.) or MAVIRET™ (ex-U.S.) (glecaprevir/pibrentasvir) for the treatment of chronic hepatitis C virus, or HCV. The other protease inhibitor under our HCV collaboration, paritaprevir, which is part of AbbVie’s initial DAA regimens for the treatment of chronic HCV, is currently marketed outside the U.S. under the tradename</w:t>
      </w:r>
    </w:p>
    <w:p>
      <w:pPr>
        <w:spacing w:after="0" w:line="2" w:lineRule="exact"/>
        <w:rPr>
          <w:sz w:val="20"/>
          <w:szCs w:val="20"/>
          <w:color w:val="auto"/>
        </w:rPr>
      </w:pPr>
    </w:p>
    <w:p>
      <w:pPr>
        <w:ind w:right="400"/>
        <w:spacing w:after="0" w:line="204" w:lineRule="auto"/>
        <w:rPr>
          <w:sz w:val="20"/>
          <w:szCs w:val="20"/>
          <w:color w:val="auto"/>
        </w:rPr>
      </w:pPr>
      <w:r>
        <w:rPr>
          <w:rFonts w:ascii="Arial" w:cs="Arial" w:eastAsia="Arial" w:hAnsi="Arial"/>
          <w:sz w:val="18"/>
          <w:szCs w:val="18"/>
          <w:color w:val="auto"/>
        </w:rPr>
        <w:t>VIEKIRAX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(paritaprevir/ritonavir/ombitasvir). Our royalties from our AbbVie collaboration and our existing financial resources provide us funding to support our wholly-owned research and development programs, which are currently focused on the following disease targets:</w:t>
      </w:r>
    </w:p>
    <w:p>
      <w:pPr>
        <w:spacing w:after="0" w:line="96" w:lineRule="exact"/>
        <w:rPr>
          <w:sz w:val="20"/>
          <w:szCs w:val="20"/>
          <w:color w:val="auto"/>
        </w:rPr>
      </w:pPr>
    </w:p>
    <w:p>
      <w:pPr>
        <w:ind w:left="1040" w:right="66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non-alcoholic steatohepatitis, or NASH, a liver disease estimated to affect approximately 1.5% to 6.5% of the population (which is the equivalent of approximately 5 to 20 million individuals in the U.S. alone);</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primary biliary cholangitis, or PBC, a chronic liver disease that slowly destroys bile ducts in the liver, which affects an estimated 17,000 individuals in the U.S.;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respiratory syncytial virus, or RSV, the most common cause of bronchiolitis and pneumonia in children under one year of age in the U.S., resulting in an estimated 57,000 to 125,000 hospitalizations each year in the U.S.;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24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had $295.5 million in cash and marketable securities at June 30, 2018. In the first nine months of our fiscal year 2018, we earned $124.4 million in royalties on the portion of AbbVie’s net sales of its HCV regimens allocated to glecaprevir or paritaprevir and earned the remaining $15.0 million milestone under our collaboration with AbbVie as a result of commercialization regulatory approval of MAVIRET™ in Japan. We expect our existing financial resources and cash flows will allow us to continue to fund our wholly-owned research and development programs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Wholly-Owned Programs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liver disease (non-virology), namely NASH and PBC, and in virology, namely RSV and HBV:</w:t>
      </w:r>
    </w:p>
    <w:p>
      <w:pPr>
        <w:spacing w:after="0" w:line="154" w:lineRule="exact"/>
        <w:rPr>
          <w:sz w:val="20"/>
          <w:szCs w:val="20"/>
          <w:color w:val="auto"/>
        </w:rPr>
      </w:pPr>
    </w:p>
    <w:p>
      <w:pPr>
        <w:ind w:left="1040" w:right="140" w:hanging="519"/>
        <w:spacing w:after="0" w:line="271"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34290" cy="146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14605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769" w:right="279" w:bottom="1440" w:gutter="0" w:footer="0" w:header="0"/>
        </w:sectPr>
      </w:pPr>
    </w:p>
    <w:bookmarkStart w:id="19" w:name="page20"/>
    <w:bookmarkEnd w:id="19"/>
    <w:p>
      <w:pPr>
        <w:ind w:left="1520" w:right="200" w:hanging="378"/>
        <w:spacing w:after="0" w:line="270" w:lineRule="auto"/>
        <w:tabs>
          <w:tab w:leader="none" w:pos="1520" w:val="left"/>
        </w:tabs>
        <w:numPr>
          <w:ilvl w:val="0"/>
          <w:numId w:val="16"/>
        </w:numPr>
        <w:rPr>
          <w:rFonts w:ascii="Courier New" w:cs="Courier New" w:eastAsia="Courier New" w:hAnsi="Courier New"/>
          <w:sz w:val="17"/>
          <w:szCs w:val="17"/>
          <w:color w:val="auto"/>
        </w:rPr>
      </w:pPr>
      <w:r>
        <w:rPr>
          <w:rFonts w:ascii="Arial" w:cs="Arial" w:eastAsia="Arial" w:hAnsi="Arial"/>
          <w:sz w:val="17"/>
          <w:szCs w:val="17"/>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2018 International Liver Conference (ILC). The study included 98 healthy volunteer subjects, or HV subjects, and 48 subjects who were obese and with or without pre-diabetes or type 2 diabetes, whom we refer to as subjects with presumptive non-alcoholic fatty liver disease, or PN subjects.</w:t>
      </w:r>
    </w:p>
    <w:p>
      <w:pPr>
        <w:spacing w:after="0" w:line="72" w:lineRule="exact"/>
        <w:rPr>
          <w:rFonts w:ascii="Courier New" w:cs="Courier New" w:eastAsia="Courier New" w:hAnsi="Courier New"/>
          <w:sz w:val="17"/>
          <w:szCs w:val="17"/>
          <w:color w:val="auto"/>
        </w:rPr>
      </w:pPr>
    </w:p>
    <w:p>
      <w:pPr>
        <w:ind w:left="2280" w:right="140" w:hanging="381"/>
        <w:spacing w:after="0" w:line="277"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EDP-305 exhibited strong engagement of the FXR receptor as evidenced by increased levels of FGF19 and reduced levels of C4, both of which are monitored as downstream markers indicating FXR receptor activity.</w:t>
      </w:r>
    </w:p>
    <w:p>
      <w:pPr>
        <w:spacing w:after="0" w:line="62" w:lineRule="exact"/>
        <w:rPr>
          <w:rFonts w:ascii="Arial" w:cs="Arial" w:eastAsia="Arial" w:hAnsi="Arial"/>
          <w:sz w:val="18"/>
          <w:szCs w:val="18"/>
          <w:color w:val="auto"/>
        </w:rPr>
      </w:pPr>
    </w:p>
    <w:p>
      <w:pPr>
        <w:ind w:left="2280" w:right="280" w:hanging="381"/>
        <w:spacing w:after="0" w:line="277" w:lineRule="auto"/>
        <w:tabs>
          <w:tab w:leader="none" w:pos="22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Results support the ability to administer EDP-305 in future trials at doses that neither elicit clinically significant changes in lipids nor result in pruritus (itching).</w:t>
      </w:r>
    </w:p>
    <w:p>
      <w:pPr>
        <w:spacing w:after="0" w:line="62" w:lineRule="exact"/>
        <w:rPr>
          <w:sz w:val="20"/>
          <w:szCs w:val="20"/>
          <w:color w:val="auto"/>
        </w:rPr>
      </w:pPr>
    </w:p>
    <w:p>
      <w:pPr>
        <w:ind w:left="1540" w:hanging="506"/>
        <w:spacing w:after="0" w:line="253"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 xml:space="preserve">Since November 2016, we have presented data at the 2016 and 2017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NASH models compared to the most advanced NASH candidate in development today, obeticholic acid, or OCA.</w:t>
      </w:r>
    </w:p>
    <w:p>
      <w:pPr>
        <w:spacing w:after="0" w:line="82" w:lineRule="exact"/>
        <w:rPr>
          <w:rFonts w:ascii="Courier New" w:cs="Courier New" w:eastAsia="Courier New" w:hAnsi="Courier New"/>
          <w:sz w:val="18"/>
          <w:szCs w:val="18"/>
          <w:color w:val="auto"/>
        </w:rPr>
      </w:pPr>
    </w:p>
    <w:p>
      <w:pPr>
        <w:ind w:left="1540" w:hanging="506"/>
        <w:spacing w:after="0"/>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initiated a Phase 2 clinical study, known as INTREPID, of EDP-305 in PBC patients in December 2017.</w:t>
      </w:r>
    </w:p>
    <w:p>
      <w:pPr>
        <w:spacing w:after="0" w:line="101" w:lineRule="exact"/>
        <w:rPr>
          <w:rFonts w:ascii="Courier New" w:cs="Courier New" w:eastAsia="Courier New" w:hAnsi="Courier New"/>
          <w:sz w:val="18"/>
          <w:szCs w:val="18"/>
          <w:color w:val="auto"/>
        </w:rPr>
      </w:pPr>
    </w:p>
    <w:p>
      <w:pPr>
        <w:ind w:left="1540" w:hanging="506"/>
        <w:spacing w:after="0"/>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We initiated a Phase 2 clinical study, known as ARGON-1, of EDP-305 in NASH patients in February 2018.</w:t>
      </w:r>
    </w:p>
    <w:p>
      <w:pPr>
        <w:spacing w:after="0" w:line="101" w:lineRule="exact"/>
        <w:rPr>
          <w:rFonts w:ascii="Courier New" w:cs="Courier New" w:eastAsia="Courier New" w:hAnsi="Courier New"/>
          <w:sz w:val="18"/>
          <w:szCs w:val="18"/>
          <w:color w:val="auto"/>
        </w:rPr>
      </w:pPr>
    </w:p>
    <w:p>
      <w:pPr>
        <w:ind w:left="1540" w:right="4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EDP-305 has been granted Fast Track designation by the U.S. Food and Drug Administration (FDA) for the treatment of NASH patients with liver fibrosis and separately for the treatment of PBC.</w:t>
      </w:r>
    </w:p>
    <w:p>
      <w:pPr>
        <w:spacing w:after="0" w:line="76" w:lineRule="exact"/>
        <w:rPr>
          <w:rFonts w:ascii="Courier New" w:cs="Courier New" w:eastAsia="Courier New" w:hAnsi="Courier New"/>
          <w:sz w:val="18"/>
          <w:szCs w:val="18"/>
          <w:color w:val="auto"/>
        </w:rPr>
      </w:pPr>
    </w:p>
    <w:p>
      <w:pPr>
        <w:ind w:left="1540" w:right="80" w:hanging="506"/>
        <w:spacing w:after="0" w:line="259" w:lineRule="auto"/>
        <w:tabs>
          <w:tab w:leader="none" w:pos="1540" w:val="left"/>
        </w:tabs>
        <w:numPr>
          <w:ilvl w:val="1"/>
          <w:numId w:val="17"/>
        </w:numPr>
        <w:rPr>
          <w:rFonts w:ascii="Courier New" w:cs="Courier New" w:eastAsia="Courier New" w:hAnsi="Courier New"/>
          <w:sz w:val="18"/>
          <w:szCs w:val="18"/>
          <w:color w:val="auto"/>
        </w:rPr>
      </w:pPr>
      <w:r>
        <w:rPr>
          <w:rFonts w:ascii="Arial" w:cs="Arial" w:eastAsia="Arial" w:hAnsi="Arial"/>
          <w:sz w:val="18"/>
          <w:szCs w:val="18"/>
          <w:color w:val="auto"/>
        </w:rPr>
        <w:t>In addition, we are pursuing research in other classes of FXR agonists as well as other mechanisms that may provide therapeutic benefit in NASH, any of which could be used as combination therapies for NASH.</w:t>
      </w:r>
    </w:p>
    <w:p>
      <w:pPr>
        <w:spacing w:after="0" w:line="76" w:lineRule="exact"/>
        <w:rPr>
          <w:rFonts w:ascii="Courier New" w:cs="Courier New" w:eastAsia="Courier New" w:hAnsi="Courier New"/>
          <w:sz w:val="18"/>
          <w:szCs w:val="18"/>
          <w:color w:val="auto"/>
        </w:rPr>
      </w:pPr>
    </w:p>
    <w:p>
      <w:pPr>
        <w:ind w:left="1040" w:right="6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RSV:</w:t>
      </w:r>
      <w:r>
        <w:rPr>
          <w:rFonts w:ascii="Arial" w:cs="Arial" w:eastAsia="Arial" w:hAnsi="Arial"/>
          <w:sz w:val="18"/>
          <w:szCs w:val="18"/>
          <w:color w:val="auto"/>
        </w:rPr>
        <w:t xml:space="preserve"> We have selected EDP-938, a potent N-protein inhibitor of activity of both major subgroups of RSV, referred to as RSV-A and RSV-B, as our first development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9" w:lineRule="exact"/>
        <w:rPr>
          <w:sz w:val="20"/>
          <w:szCs w:val="20"/>
          <w:color w:val="auto"/>
        </w:rPr>
      </w:pPr>
    </w:p>
    <w:p>
      <w:pPr>
        <w:ind w:left="1520" w:right="20" w:hanging="378"/>
        <w:spacing w:after="0" w:line="252" w:lineRule="auto"/>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 xml:space="preserve">Preclinical data has demonstrated that EDP-938 is a potent inhibitor of both RSV-A and RSV-B activity, maintaining antiviral activity post-infection while presenting a high barrier to resistance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EDP-938 demonstrated a greater than 4-log reduction in viral load in an animal model challenged with RSV. Further, EDP-938 maintained antiviral potency across all clinical isolates tested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 well as virus that was resistant to fusion inhibitors. The compound inhibited RSV at a post-entry replication step and maintained its activity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when given 24 hours post infection. In addition, combination studies of EDP-938 with other types of RSV inhibitors, such as fusion</w:t>
      </w:r>
      <w:r>
        <w:rPr>
          <w:rFonts w:ascii="Arial" w:cs="Arial" w:eastAsia="Arial" w:hAnsi="Arial"/>
          <w:sz w:val="18"/>
          <w:szCs w:val="18"/>
          <w:i w:val="1"/>
          <w:iCs w:val="1"/>
          <w:color w:val="auto"/>
        </w:rPr>
        <w:t xml:space="preserve"> </w:t>
      </w:r>
      <w:r>
        <w:rPr>
          <w:rFonts w:ascii="Arial" w:cs="Arial" w:eastAsia="Arial" w:hAnsi="Arial"/>
          <w:sz w:val="18"/>
          <w:szCs w:val="18"/>
          <w:color w:val="auto"/>
        </w:rPr>
        <w:t>inhibitors, showed synergistic antiviral effects.</w:t>
      </w:r>
    </w:p>
    <w:p>
      <w:pPr>
        <w:spacing w:after="0" w:line="83" w:lineRule="exact"/>
        <w:rPr>
          <w:rFonts w:ascii="Courier New" w:cs="Courier New" w:eastAsia="Courier New" w:hAnsi="Courier New"/>
          <w:sz w:val="18"/>
          <w:szCs w:val="18"/>
          <w:color w:val="auto"/>
        </w:rPr>
      </w:pPr>
    </w:p>
    <w:p>
      <w:pPr>
        <w:ind w:left="1520" w:hanging="378"/>
        <w:spacing w:after="0"/>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We initiated a Phase 1 clinical study of EDP-938 in the fourth quarter of calendar 2017 and completed dosing in July 2018.</w:t>
      </w:r>
    </w:p>
    <w:p>
      <w:pPr>
        <w:spacing w:after="0" w:line="101" w:lineRule="exact"/>
        <w:rPr>
          <w:rFonts w:ascii="Courier New" w:cs="Courier New" w:eastAsia="Courier New" w:hAnsi="Courier New"/>
          <w:sz w:val="18"/>
          <w:szCs w:val="18"/>
          <w:color w:val="auto"/>
        </w:rPr>
      </w:pPr>
    </w:p>
    <w:p>
      <w:pPr>
        <w:ind w:left="1520" w:right="40" w:hanging="378"/>
        <w:spacing w:after="0" w:line="254" w:lineRule="auto"/>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Assuming successful completion of the Phase 1 study, we anticipate starting a Phase 2a challenge study of EDP-938 in the fourth quarter of calendar 2018. The challenge study will test the effect of EDP-938 on volunteers who will be infected with RSV in the course of the study.</w:t>
      </w:r>
    </w:p>
    <w:p>
      <w:pPr>
        <w:spacing w:after="0" w:line="82" w:lineRule="exact"/>
        <w:rPr>
          <w:rFonts w:ascii="Courier New" w:cs="Courier New" w:eastAsia="Courier New" w:hAnsi="Courier New"/>
          <w:sz w:val="18"/>
          <w:szCs w:val="18"/>
          <w:color w:val="auto"/>
        </w:rPr>
      </w:pPr>
    </w:p>
    <w:p>
      <w:pPr>
        <w:ind w:left="1040" w:right="60" w:hanging="519"/>
        <w:spacing w:after="0" w:line="25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We also have a program to discover and develop new chemical entities for the treatment of HBV. Our initial focus is on core inhibition, a mechanism with early clinical validation. We believe that it may be necessary to utilize more than one compound/mechanism for the treatment of HBV and therefore we are pursuing multiple approaches. We continue to make progress in discovering, characterizing, and seeking patent protection for new HBV core inhibitors, also known as core protein allosteric modulators, or CpAMs, or capsid assembly modulators, with the goal of identifying a development candidate in 2018.</w:t>
      </w:r>
    </w:p>
    <w:p>
      <w:pPr>
        <w:spacing w:after="0" w:line="80" w:lineRule="exact"/>
        <w:rPr>
          <w:rFonts w:ascii="Arial" w:cs="Arial" w:eastAsia="Arial" w:hAnsi="Arial"/>
          <w:sz w:val="18"/>
          <w:szCs w:val="18"/>
          <w:color w:val="auto"/>
        </w:rPr>
      </w:pPr>
    </w:p>
    <w:p>
      <w:pPr>
        <w:ind w:left="1520" w:right="200" w:hanging="378"/>
        <w:spacing w:after="0" w:line="253" w:lineRule="auto"/>
        <w:tabs>
          <w:tab w:leader="none" w:pos="1520" w:val="left"/>
        </w:tabs>
        <w:numPr>
          <w:ilvl w:val="1"/>
          <w:numId w:val="18"/>
        </w:numPr>
        <w:rPr>
          <w:rFonts w:ascii="Courier New" w:cs="Courier New" w:eastAsia="Courier New" w:hAnsi="Courier New"/>
          <w:sz w:val="18"/>
          <w:szCs w:val="18"/>
          <w:color w:val="auto"/>
        </w:rPr>
      </w:pPr>
      <w:r>
        <w:rPr>
          <w:rFonts w:ascii="Arial" w:cs="Arial" w:eastAsia="Arial" w:hAnsi="Arial"/>
          <w:sz w:val="18"/>
          <w:szCs w:val="18"/>
          <w:color w:val="auto"/>
        </w:rPr>
        <w:t>In April 2018 at the ILC, we presented in vitro and humanized mouse model data on one of our most advanced core inhibitors being evaluated for HBV. The data presented demonstrated that in a chimeric mouse model with human liver cells, EP-027367 reduced HBV DNA levels by up to 3.0 logs from baseline in HBV viral titers with four weeks of treatment and demonstrated a favorable tolerability and safety profile.</w:t>
      </w:r>
    </w:p>
    <w:p>
      <w:pPr>
        <w:spacing w:after="0" w:line="82" w:lineRule="exact"/>
        <w:rPr>
          <w:rFonts w:ascii="Courier New" w:cs="Courier New" w:eastAsia="Courier New" w:hAnsi="Courier New"/>
          <w:sz w:val="18"/>
          <w:szCs w:val="18"/>
          <w:color w:val="auto"/>
        </w:rPr>
      </w:pPr>
    </w:p>
    <w:p>
      <w:pPr>
        <w:ind w:left="1520" w:hanging="378"/>
        <w:spacing w:after="0"/>
        <w:tabs>
          <w:tab w:leader="none" w:pos="1520" w:val="left"/>
        </w:tabs>
        <w:numPr>
          <w:ilvl w:val="1"/>
          <w:numId w:val="18"/>
        </w:numPr>
        <w:rPr>
          <w:rFonts w:ascii="Courier New" w:cs="Courier New" w:eastAsia="Courier New" w:hAnsi="Courier New"/>
          <w:sz w:val="16"/>
          <w:szCs w:val="16"/>
          <w:color w:val="auto"/>
        </w:rPr>
      </w:pPr>
      <w:r>
        <w:rPr>
          <w:rFonts w:ascii="Arial" w:cs="Arial" w:eastAsia="Arial" w:hAnsi="Arial"/>
          <w:sz w:val="16"/>
          <w:szCs w:val="16"/>
          <w:color w:val="auto"/>
        </w:rPr>
        <w:t>In addition, we are conducting preclinical experiments with compounds we have discovered that use other mechanisms to target HBV.</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Licensed Products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Through our Collaborative Development and License Agreement with AbbVie, we have developed and licensed to AbbVie two protease inhibitor compounds that have been clinically tested, manufactured, and commercialized by AbbVie. To date, we have earned a total of $330.0 million in milestone payments related to clinical development and commercialization regulatory approvals of these regimens in major markets:</w:t>
      </w:r>
    </w:p>
    <w:p>
      <w:pPr>
        <w:spacing w:after="0" w:line="73" w:lineRule="exact"/>
        <w:rPr>
          <w:sz w:val="20"/>
          <w:szCs w:val="20"/>
          <w:color w:val="auto"/>
        </w:rPr>
      </w:pPr>
    </w:p>
    <w:p>
      <w:pPr>
        <w:ind w:left="1040" w:right="220" w:hanging="519"/>
        <w:spacing w:after="0" w:line="255"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Glecaprevir:</w:t>
      </w:r>
      <w:r>
        <w:rPr>
          <w:rFonts w:ascii="Arial" w:cs="Arial" w:eastAsia="Arial" w:hAnsi="Arial"/>
          <w:sz w:val="18"/>
          <w:szCs w:val="18"/>
          <w:color w:val="auto"/>
        </w:rPr>
        <w:t xml:space="preserve"> Glecaprevir is the protease inhibitor we discovered that was developed by AbbVie in a fixed-dose combination with its NS5A inhibitor, pibrentasvir, for the treatment of HCV. This combination, currently marketed under the brand name MAVYRET™ in the U.S. and MAVIRET™ (ex-U.S.) and referred to in this report as MAVYRET/MAVIRET, is a new, once daily, all oral, fixed-dose, ribavirin-free treatment for HCV genotypes 1-6, or GT1-6, which is referred to as being pan-genotypic. In the EU, U.S. and Japan it was approved as an 8-week treatment for patients without cirrhosis and new to treatment. Today, these patients are estimated to represent the majority of HCV patients in the developed country markets.</w:t>
      </w:r>
    </w:p>
    <w:p>
      <w:pPr>
        <w:spacing w:after="0" w:line="8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Our economics from AbbVie’s MAVYRET/MAVIRET consist of two components:</w:t>
      </w:r>
    </w:p>
    <w:p>
      <w:pPr>
        <w:spacing w:after="0" w:line="117" w:lineRule="exact"/>
        <w:rPr>
          <w:rFonts w:ascii="Arial" w:cs="Arial" w:eastAsia="Arial" w:hAnsi="Arial"/>
          <w:sz w:val="18"/>
          <w:szCs w:val="18"/>
          <w:color w:val="auto"/>
        </w:rPr>
      </w:pPr>
    </w:p>
    <w:p>
      <w:pPr>
        <w:ind w:left="1540" w:hanging="513"/>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receive annually tiered, double-digit, per-product royalties (see Note 6 in Notes to Consolidated Financial Statements) on 50% of the calendar year net sales of the 2-DAA glecaprevir/pibrentasvir combination in MAVYRET/MAVIRET. These royalties are calculated separately from the royalties on paritaprevir-containing regimens.</w:t>
      </w:r>
    </w:p>
    <w:p>
      <w:pPr>
        <w:spacing w:after="0" w:line="73" w:lineRule="exact"/>
        <w:rPr>
          <w:rFonts w:ascii="Arial" w:cs="Arial" w:eastAsia="Arial" w:hAnsi="Arial"/>
          <w:sz w:val="18"/>
          <w:szCs w:val="18"/>
          <w:color w:val="auto"/>
        </w:rPr>
      </w:pPr>
    </w:p>
    <w:p>
      <w:pPr>
        <w:ind w:left="1540" w:right="17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We also earned all available milestones, totaling $80.0 million, for commercialization regulatory approvals of the glecaprevir/pibrentasvir combination in the U.S., EU and Japan.</w:t>
      </w:r>
    </w:p>
    <w:p>
      <w:pPr>
        <w:spacing w:after="0" w:line="62" w:lineRule="exact"/>
        <w:rPr>
          <w:rFonts w:ascii="Arial" w:cs="Arial" w:eastAsia="Arial" w:hAnsi="Arial"/>
          <w:sz w:val="18"/>
          <w:szCs w:val="18"/>
          <w:color w:val="auto"/>
        </w:rPr>
      </w:pPr>
    </w:p>
    <w:p>
      <w:pPr>
        <w:ind w:left="1040" w:right="100"/>
        <w:spacing w:after="0" w:line="277" w:lineRule="auto"/>
        <w:rPr>
          <w:rFonts w:ascii="Arial" w:cs="Arial" w:eastAsia="Arial" w:hAnsi="Arial"/>
          <w:sz w:val="18"/>
          <w:szCs w:val="18"/>
          <w:color w:val="auto"/>
        </w:rPr>
      </w:pPr>
      <w:r>
        <w:rPr>
          <w:rFonts w:ascii="Arial" w:cs="Arial" w:eastAsia="Arial" w:hAnsi="Arial"/>
          <w:sz w:val="18"/>
          <w:szCs w:val="18"/>
          <w:color w:val="auto"/>
        </w:rPr>
        <w:t>The U.S., EU and Japan authorizations for the MAVYRET/MAVIRET combination of glecaprevir and pibrentasvir, and AbbVie’s applications for approval of MAVYRET/MAVIRET in other jurisdictions, are supported by the following studies:</w:t>
      </w:r>
    </w:p>
    <w:p>
      <w:pPr>
        <w:spacing w:after="0" w:line="62" w:lineRule="exact"/>
        <w:rPr>
          <w:rFonts w:ascii="Arial" w:cs="Arial" w:eastAsia="Arial" w:hAnsi="Arial"/>
          <w:sz w:val="18"/>
          <w:szCs w:val="18"/>
          <w:color w:val="auto"/>
        </w:rPr>
      </w:pPr>
    </w:p>
    <w:p>
      <w:pPr>
        <w:ind w:left="1620" w:hanging="567"/>
        <w:spacing w:after="0" w:line="32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b w:val="1"/>
          <w:bCs w:val="1"/>
          <w:i w:val="1"/>
          <w:iCs w:val="1"/>
          <w:color w:val="auto"/>
        </w:rPr>
        <w:t xml:space="preserve">8 weeks for treatment-naïve, non-cirrhotics: </w:t>
      </w:r>
      <w:r>
        <w:rPr>
          <w:rFonts w:ascii="Arial" w:cs="Arial" w:eastAsia="Arial" w:hAnsi="Arial"/>
          <w:sz w:val="16"/>
          <w:szCs w:val="16"/>
          <w:color w:val="auto"/>
        </w:rPr>
        <w:t>In November 2016, results from several Phase 3 studies of this combination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97.5% of chronic HCV infected patients without cirrhosis and new to treatment across all major genotypes (GT1-6) achieved sustained virologic response at 12 weeks post-treatment, referred to as SVR</w:t>
      </w:r>
      <w:r>
        <w:rPr>
          <w:rFonts w:ascii="Arial" w:cs="Arial" w:eastAsia="Arial" w:hAnsi="Arial"/>
          <w:sz w:val="13"/>
          <w:szCs w:val="13"/>
          <w:color w:val="auto"/>
        </w:rPr>
        <w:t>12</w:t>
      </w:r>
      <w:r>
        <w:rPr>
          <w:rFonts w:ascii="Arial" w:cs="Arial" w:eastAsia="Arial" w:hAnsi="Arial"/>
          <w:sz w:val="16"/>
          <w:szCs w:val="16"/>
          <w:color w:val="auto"/>
        </w:rPr>
        <w:t>, with just 8 weeks of MAVYRET/MAVIRET treatment.</w:t>
      </w:r>
    </w:p>
    <w:p>
      <w:pPr>
        <w:spacing w:after="0" w:line="11" w:lineRule="exact"/>
        <w:rPr>
          <w:rFonts w:ascii="Arial" w:cs="Arial" w:eastAsia="Arial" w:hAnsi="Arial"/>
          <w:sz w:val="18"/>
          <w:szCs w:val="18"/>
          <w:color w:val="auto"/>
        </w:rPr>
      </w:pPr>
    </w:p>
    <w:p>
      <w:pPr>
        <w:ind w:left="1620" w:right="4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8 weeks with chronic kidney disease: </w:t>
      </w:r>
      <w:r>
        <w:rPr>
          <w:rFonts w:ascii="Arial" w:cs="Arial" w:eastAsia="Arial" w:hAnsi="Arial"/>
          <w:sz w:val="18"/>
          <w:szCs w:val="18"/>
          <w:color w:val="auto"/>
        </w:rPr>
        <w:t>Results were also presented from AbbVie’s EXPEDITION-4 study in chronic HCV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chronic kidney disease (CKD), in which 98% of patients (n=102/104) across all major genotypes (GT1-6) achieved SVR</w:t>
      </w:r>
      <w:r>
        <w:rPr>
          <w:rFonts w:ascii="Arial" w:cs="Arial" w:eastAsia="Arial" w:hAnsi="Arial"/>
          <w:sz w:val="15"/>
          <w:szCs w:val="15"/>
          <w:color w:val="auto"/>
        </w:rPr>
        <w:t>12</w:t>
      </w:r>
      <w:r>
        <w:rPr>
          <w:rFonts w:ascii="Arial" w:cs="Arial" w:eastAsia="Arial" w:hAnsi="Arial"/>
          <w:sz w:val="18"/>
          <w:szCs w:val="18"/>
          <w:color w:val="auto"/>
        </w:rPr>
        <w:t xml:space="preserve"> with 12 weeks of treatment with MAVYRET/MAVIRET.</w:t>
      </w:r>
    </w:p>
    <w:p>
      <w:pPr>
        <w:spacing w:after="0" w:line="73" w:lineRule="exact"/>
        <w:rPr>
          <w:rFonts w:ascii="Arial" w:cs="Arial" w:eastAsia="Arial" w:hAnsi="Arial"/>
          <w:sz w:val="18"/>
          <w:szCs w:val="18"/>
          <w:color w:val="auto"/>
        </w:rPr>
      </w:pPr>
    </w:p>
    <w:p>
      <w:pPr>
        <w:ind w:left="1620" w:right="28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8 weeks for GT-3: </w:t>
      </w:r>
      <w:r>
        <w:rPr>
          <w:rFonts w:ascii="Arial" w:cs="Arial" w:eastAsia="Arial" w:hAnsi="Arial"/>
          <w:sz w:val="18"/>
          <w:szCs w:val="18"/>
          <w:color w:val="auto"/>
        </w:rPr>
        <w:t>Data from AbbVie’s ENDURANCE-3 study were presented at the 2017 ILC, demonstrating that 95% of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challenging-to-treat, genotype 3 (GT3) chronic HCV infection, without cirrhosis and new to treatment, achieved SVR</w:t>
      </w:r>
      <w:r>
        <w:rPr>
          <w:rFonts w:ascii="Arial" w:cs="Arial" w:eastAsia="Arial" w:hAnsi="Arial"/>
          <w:sz w:val="15"/>
          <w:szCs w:val="15"/>
          <w:color w:val="auto"/>
        </w:rPr>
        <w:t>12</w:t>
      </w:r>
      <w:r>
        <w:rPr>
          <w:rFonts w:ascii="Arial" w:cs="Arial" w:eastAsia="Arial" w:hAnsi="Arial"/>
          <w:sz w:val="18"/>
          <w:szCs w:val="18"/>
          <w:color w:val="auto"/>
        </w:rPr>
        <w:t xml:space="preserve"> after 8 weeks of treatment with MAVYRET/MAVIRET.</w:t>
      </w:r>
    </w:p>
    <w:p>
      <w:pPr>
        <w:spacing w:after="0" w:line="73" w:lineRule="exact"/>
        <w:rPr>
          <w:rFonts w:ascii="Arial" w:cs="Arial" w:eastAsia="Arial" w:hAnsi="Arial"/>
          <w:sz w:val="18"/>
          <w:szCs w:val="18"/>
          <w:color w:val="auto"/>
        </w:rPr>
      </w:pPr>
    </w:p>
    <w:p>
      <w:pPr>
        <w:ind w:left="1620" w:right="120" w:hanging="567"/>
        <w:spacing w:after="0" w:line="264"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b w:val="1"/>
          <w:bCs w:val="1"/>
          <w:i w:val="1"/>
          <w:iCs w:val="1"/>
          <w:color w:val="auto"/>
        </w:rPr>
        <w:t xml:space="preserve">12 weeks for compensated cirrhosis: </w:t>
      </w:r>
      <w:r>
        <w:rPr>
          <w:rFonts w:ascii="Arial" w:cs="Arial" w:eastAsia="Arial" w:hAnsi="Arial"/>
          <w:sz w:val="18"/>
          <w:szCs w:val="18"/>
          <w:color w:val="auto"/>
        </w:rPr>
        <w:t>Data from AbbVie’s EXPEDITION-1 study were also presented at the 2017 ILC, demonstrating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99% of HCV-infected patients with genotype 1, 2, 4, 5 or 6 and compensated cirrhosis (Child-Pugh A) achieved SVR</w:t>
      </w:r>
      <w:r>
        <w:rPr>
          <w:rFonts w:ascii="Arial" w:cs="Arial" w:eastAsia="Arial" w:hAnsi="Arial"/>
          <w:sz w:val="15"/>
          <w:szCs w:val="15"/>
          <w:color w:val="auto"/>
        </w:rPr>
        <w:t>12</w:t>
      </w:r>
      <w:r>
        <w:rPr>
          <w:rFonts w:ascii="Arial" w:cs="Arial" w:eastAsia="Arial" w:hAnsi="Arial"/>
          <w:sz w:val="18"/>
          <w:szCs w:val="18"/>
          <w:color w:val="auto"/>
        </w:rPr>
        <w:t xml:space="preserve"> following 12 weeks of MAVYRET/MAVIRET treatment without ribavirin.</w:t>
      </w:r>
    </w:p>
    <w:p>
      <w:pPr>
        <w:spacing w:after="0" w:line="73" w:lineRule="exact"/>
        <w:rPr>
          <w:rFonts w:ascii="Arial" w:cs="Arial" w:eastAsia="Arial" w:hAnsi="Arial"/>
          <w:sz w:val="18"/>
          <w:szCs w:val="18"/>
          <w:color w:val="auto"/>
        </w:rPr>
      </w:pPr>
    </w:p>
    <w:p>
      <w:pPr>
        <w:ind w:left="1040" w:right="220" w:hanging="519"/>
        <w:spacing w:after="0" w:line="238"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Paritaprevir:</w:t>
      </w:r>
      <w:r>
        <w:rPr>
          <w:rFonts w:ascii="Arial" w:cs="Arial" w:eastAsia="Arial" w:hAnsi="Arial"/>
          <w:sz w:val="18"/>
          <w:szCs w:val="18"/>
          <w:color w:val="auto"/>
        </w:rPr>
        <w:t xml:space="preserve"> Paritaprevir is the protease inhibitor contained in AbbVie’s initial HCV treatment regimens currently marketed in the EU, Japan and other countries around the world under the tradename VIEKIRAX</w:t>
      </w:r>
      <w:r>
        <w:rPr>
          <w:rFonts w:ascii="Arial" w:cs="Arial" w:eastAsia="Arial" w:hAnsi="Arial"/>
          <w:sz w:val="21"/>
          <w:szCs w:val="21"/>
          <w:color w:val="auto"/>
          <w:vertAlign w:val="superscript"/>
        </w:rPr>
        <w:t>®</w:t>
      </w:r>
      <w:r>
        <w:rPr>
          <w:rFonts w:ascii="Arial" w:cs="Arial" w:eastAsia="Arial" w:hAnsi="Arial"/>
          <w:sz w:val="12"/>
          <w:szCs w:val="12"/>
          <w:color w:val="auto"/>
        </w:rPr>
        <w:t>.</w:t>
      </w:r>
      <w:r>
        <w:rPr>
          <w:rFonts w:ascii="Arial" w:cs="Arial" w:eastAsia="Arial" w:hAnsi="Arial"/>
          <w:sz w:val="18"/>
          <w:szCs w:val="18"/>
          <w:color w:val="auto"/>
        </w:rPr>
        <w:t xml:space="preserve"> In the U.S. the HCV regimen containing paritaprevir, which is sold under the tradename VIEKIRA PAK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(paritaprevir/ritonavir/ombitasvir/dasabuvir), is no longer being actively marketed. First approved and sold in the U.S. in December 2014 for treatment of GT-1 HCV, AbbVie’s HCV regimens containing paritaprevir are also approved for GT-4 HCV.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152400</wp:posOffset>
            </wp:positionV>
            <wp:extent cx="6165850" cy="509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65850" cy="509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currently funding all research and development for our wholly-owned programs. We expect to incur substantially greater expenses as we continue to advance our FXR agonist program for NASH and PBC as well as our RSV program. Specifically, in fiscal 2018, we initiated two Phase 2 studies of EDP-305, one in PBC patients, known as the INTREPID study, and one in NASH patients, known as the ARGON-1 study. We also initiated a Phase 1 clinical study of our lead RSV candidate, EDP-938, in the fourth quarter of calendar 2017, which has finished dosing, and we plan to initiate a Phase 2a challenge study in RSV in the fourth calendar quarter of 2018. We have been increasing our expenses in fiscal year 2018, as compared to our fiscal year 2017, as we conduct these clinical studies and advance other compounds into substantial preclinical development.</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Since our initial public offering in 2013, we have devoted substantially all of our resources to the discovery and development of novel compounds for the treatment of viral infections and liver diseases. For the periods included in this report we have funded our operations primarily through payments received under our collaboration agreement with AbbVie. Our revenue will continue to be dependent on royalty payments we receive from our collaboration with AbbVie.</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its new MAVYRET/MAVIRET regimen, which in the majority of chronic HCV patients only requires 8 weeks of treatment compared to 12 weeks with VIEKIRA PAK</w:t>
      </w:r>
      <w:r>
        <w:rPr>
          <w:rFonts w:ascii="Arial" w:cs="Arial" w:eastAsia="Arial" w:hAnsi="Arial"/>
          <w:sz w:val="15"/>
          <w:szCs w:val="15"/>
          <w:color w:val="auto"/>
        </w:rPr>
        <w:t>®</w:t>
      </w:r>
      <w:r>
        <w:rPr>
          <w:rFonts w:ascii="Arial" w:cs="Arial" w:eastAsia="Arial" w:hAnsi="Arial"/>
          <w:sz w:val="18"/>
          <w:szCs w:val="18"/>
          <w:color w:val="auto"/>
        </w:rPr>
        <w:t xml:space="preserve"> and other HCV regimens, AbbVie initially set a lower list price compared to its original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line="259" w:lineRule="auto"/>
        <w:rPr>
          <w:sz w:val="20"/>
          <w:szCs w:val="20"/>
          <w:color w:val="auto"/>
        </w:rPr>
      </w:pPr>
      <w:r>
        <w:rPr>
          <w:rFonts w:ascii="Arial" w:cs="Arial" w:eastAsia="Arial" w:hAnsi="Arial"/>
          <w:sz w:val="18"/>
          <w:szCs w:val="18"/>
          <w:color w:val="auto"/>
        </w:rPr>
        <w:t>HCV regimens and other HCV products on the market. Over the past few quarters, AbbVie has reported increasing MAVYRET/MAVIRET sales and market share and has become a leading HCV treatment in the U.S. and several market geographies in developed countries where it is approved. However, the market for HCV therapies remains very dynamic in several jurisdictions where MAVYRET/MAVIRET is already approved or AbbVie is seeking approval, and we cannot predict how that market will continue to evolve.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our fiscal 2018 and 2017, our revenue has been derived from our continuing collaboration agreement with AbbVie. In 2017, we generated royalty revenue from AbbVie’s net sales allocable to our protease inhibitor, paritaprevir, which is part of AbbVie’s initial treatment regimens for HCV approved in the U.S. in December 2014 and in the EU and dozens of other countries subsequently. Since then, AbbVie received approvals of its new HCV regimen containing glecaprevir in the U.S. and EU in the summer of 2017 and began commercializing the combination under the tradenames MAVYRET™ (U.S.) and MAVIRET™ (ex-U.S.). The large majority of our royalty revenues are now derived from this regimen.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 for the three and nine months ended June 30, 2018 and 2017:</w:t>
      </w:r>
    </w:p>
    <w:p>
      <w:pPr>
        <w:spacing w:after="0" w:line="10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3"/>
                <w:szCs w:val="13"/>
                <w:color w:val="auto"/>
              </w:rPr>
            </w:pPr>
          </w:p>
        </w:tc>
      </w:tr>
      <w:tr>
        <w:trPr>
          <w:trHeight w:val="156"/>
        </w:trPr>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5"/>
          </w:tcPr>
          <w:p>
            <w:pPr>
              <w:ind w:left="640"/>
              <w:spacing w:after="0" w:line="155"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00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8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57,262</w:t>
            </w:r>
          </w:p>
        </w:tc>
        <w:tc>
          <w:tcPr>
            <w:tcW w:w="26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7,511</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124,420</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26,887</w:t>
            </w:r>
          </w:p>
        </w:tc>
        <w:tc>
          <w:tcPr>
            <w:tcW w:w="60" w:type="dxa"/>
            <w:vAlign w:val="bottom"/>
          </w:tcPr>
          <w:p>
            <w:pPr>
              <w:spacing w:after="0"/>
              <w:rPr>
                <w:sz w:val="19"/>
                <w:szCs w:val="19"/>
                <w:color w:val="auto"/>
              </w:rPr>
            </w:pPr>
          </w:p>
        </w:tc>
      </w:tr>
      <w:tr>
        <w:trPr>
          <w:trHeight w:val="230"/>
        </w:trPr>
        <w:tc>
          <w:tcPr>
            <w:tcW w:w="2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0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57,262</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139,420</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26,887</w:t>
            </w:r>
          </w:p>
        </w:tc>
        <w:tc>
          <w:tcPr>
            <w:tcW w:w="6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Since all of our research obligations under the AbbVie agreement were concluded by June 30, 2011, all milestone payments received since then have been recognized as revenue upon achievement of each milestone by AbbVie. During the nine months ended June 30, 2018, we earned and recognized as revenue the last milestone payment for glecaprevir, which was a $15.0 million milestone payment upon AbbVie’s achievement of commercialization regulatory approval of MAVIRET™ in Japan. We did not earn any milestones during the same period in 2017.</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also receive annually tiered, double-digit royalties per protease inhibitor product on AbbVie’s net sales allocable to either of our collaboration’s protease inhibitors.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 (see Note 6 in Notes to Consolidated Financial Statements at page 12 of this report which is incorporated herein by reference).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 We expect that our revenue for 2018 and the next several years will be derived from royalties under our current collaboration agreement with AbbVie, as well as any additional collaboration that we may enter into in the future.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nine months ended June 30, 2018 and 2017:</w:t>
      </w:r>
    </w:p>
    <w:p>
      <w:pPr>
        <w:spacing w:after="0" w:line="200" w:lineRule="exact"/>
        <w:rPr>
          <w:sz w:val="20"/>
          <w:szCs w:val="20"/>
          <w:color w:val="auto"/>
        </w:rPr>
      </w:pPr>
    </w:p>
    <w:p>
      <w:pPr>
        <w:spacing w:after="0" w:line="31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6"/>
              </w:rPr>
              <w:t>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3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260"/>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0"/>
              </w:rPr>
              <w:t>67,933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40,937</w:t>
            </w:r>
          </w:p>
        </w:tc>
        <w:tc>
          <w:tcPr>
            <w:tcW w:w="80" w:type="dxa"/>
            <w:vAlign w:val="bottom"/>
            <w:shd w:val="clear" w:color="auto" w:fill="CFF0FC"/>
          </w:tcPr>
          <w:p>
            <w:pPr>
              <w:spacing w:after="0"/>
              <w:rPr>
                <w:sz w:val="19"/>
                <w:szCs w:val="19"/>
                <w:color w:val="auto"/>
              </w:rPr>
            </w:pPr>
          </w:p>
        </w:tc>
      </w:tr>
      <w:tr>
        <w:trPr>
          <w:trHeight w:val="230"/>
        </w:trPr>
        <w:tc>
          <w:tcPr>
            <w:tcW w:w="3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87"/>
              </w:rPr>
              <w:t>17,611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15,631</w:t>
            </w:r>
          </w:p>
        </w:tc>
        <w:tc>
          <w:tcPr>
            <w:tcW w:w="80" w:type="dxa"/>
            <w:vAlign w:val="bottom"/>
            <w:tcBorders>
              <w:bottom w:val="single" w:sz="8" w:color="CFF0FC"/>
            </w:tcBorders>
          </w:tcPr>
          <w:p>
            <w:pPr>
              <w:spacing w:after="0"/>
              <w:rPr>
                <w:sz w:val="19"/>
                <w:szCs w:val="19"/>
                <w:color w:val="auto"/>
              </w:rPr>
            </w:pPr>
          </w:p>
        </w:tc>
      </w:tr>
      <w:tr>
        <w:trPr>
          <w:trHeight w:val="223"/>
        </w:trPr>
        <w:tc>
          <w:tcPr>
            <w:tcW w:w="31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20,640</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0"/>
              </w:rPr>
              <w:t>85,544</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3" w:lineRule="exact"/>
        <w:rPr>
          <w:sz w:val="20"/>
          <w:szCs w:val="20"/>
          <w:color w:val="auto"/>
        </w:rPr>
      </w:pPr>
    </w:p>
    <w:p>
      <w:pPr>
        <w:ind w:left="1040" w:right="9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NASH, PBC, RSV and HBV programs.</w:t>
      </w:r>
    </w:p>
    <w:p>
      <w:pPr>
        <w:spacing w:after="0" w:line="16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publicly traded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Other income (expense) consists of interest income, interest expense and the change in fair value of our Series 1 nonconvertible preferred stock and the change in fair value of our outstanding warrant liability in 2017.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 The change in fair value of our outstanding warrant liability and Series 1 nonconvertible preferred stock relates to the remeasurement of these financial instruments from period to period as these instruments may require a transfer of assets because of the liquidation preference features of the underlying stock. The change in fair value also includes any forfeiture of unexercised warrants which expired on October 4, 2017.</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Income tax (expense) benefit is based on our best estimate of applicable income tax rates for the entire fiscal year applied to pre-tax profit or loss reported for the year-to-date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our Annual Report on Form 10-K for the fiscal year ended September 30, 2017 (referred to as our 2017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71"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taxes;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2017 aside from the adoption of ASU 2016-09 in the first quarter of fiscal 2018. For further information, please see the discussion of critical accounting policies included in our 2017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74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437"/>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left="43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57,262</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28,487</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15,407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6,135</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1,338</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(3,690)</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Net income (loss)</w:t>
            </w: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20,288</w:t>
            </w:r>
          </w:p>
        </w:tc>
        <w:tc>
          <w:tcPr>
            <w:tcW w:w="4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(8,426)</w:t>
            </w: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20" w:type="dxa"/>
            <w:vAlign w:val="bottom"/>
          </w:tcPr>
          <w:p>
            <w:pPr>
              <w:jc w:val="right"/>
              <w:ind w:right="125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22"/>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Royalties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57,262</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57,262</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recognized revenue of $57.3 million during the three months ended June 30, 2018 as compared to $7.5 million during the same period 2017. During the three months ended June 30, 2018, revenue consisted of royalties earned on the portion of AbbVie’s net sales of its respective HCV treatment regimens allocable to glecaprevir or paritaprevir, and substantially all of our royalties are now earned on MAVYRET/MAVIRET. During the three months ended June 30, 2017, our revenue consisted solely of royalties earned on the portion of AbbVie’s net sales of its HCV treatment regimen allocable to paritaprevir.</w:t>
      </w:r>
    </w:p>
    <w:p>
      <w:pPr>
        <w:spacing w:after="0" w:line="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revenue is generated through our collaboration with AbbVie. Our collaboration’s MAVYRET/MAVIRET regimen, a pan-genotypic treatment combining two DAAs, began commercialization in the second half of 2017, following its approval in the EU, U.S., and Japan. We receive annually tiered, double-digit, per-product royalties on 50% of all net sales of MAVYRET/MAVIRET. During the three months ended June 30, 2018, the net sales of MAVYRET/MAVIRET moved our cumulative annual royalties for glecaprevir for the calendar year through the 12% and into the 14% tier of our royalty rate schedule under our agreement with AbbVie. Our royalty revenues eligible to be earned in the future will be dependent on AbbVie’s HCV market share, the pricing of the MAVYRET/MAVIRET regimen and the number of patients treated. In addition, at the beginning of each calendar year our royalty rates reset to the lowest tier for each of our royalty-bearing products licensed to AbbVie.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16,578</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10,281</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11,884</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28,487</w:t>
            </w:r>
          </w:p>
        </w:tc>
        <w:tc>
          <w:tcPr>
            <w:tcW w:w="2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15,407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Research and development expenses increased $13.1 million for the three months ended June 30, 2018 as compared to the same period in 2017. The increase was primarily due to progression of preclinical and clinical activities in our liver disease and virology programs. Increases were driven by an increase in headcount to support our studies and an increase in external costs for clinical and preclinical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General and administrative expenses increased by $0.9 million for the three months ended June 30, 2018 as compared to the same period in 2017. The increase was primarily due to an increase in compensation expense due to an increase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income (expense) increased $0.7 million for the three months ended June 30, 2018 as compared to the same period in 2017 due to an increase in interest income due to higher average investment balances and an increase in interest rates year over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three months ended June 30, 2018, we recorded income tax (expense) of $(3.7) million and for the comparable period in 2017, an income tax benefit of $4.1 million. During the three months ended June 30, 2018, our income tax expense was driven by our pre-tax income during the quarter which increased from the prior comparable quarter due to an increase in royalties earned from the AbbVie Agreement as a result of the launch of MAVRYET/MAVIRET in late 2017 and was offset by excess tax benefits from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employee stock option exercises during the quarter. For the three months ended June 30, 2017, our income tax benefit was driven by our pre-tax loss during the quarter.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June 30, 2018 and 2017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1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center"/>
              <w:ind w:left="41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92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139,420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67,933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40,937</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15,631</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(12,704)</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9,210</w:t>
            </w: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income (loss)</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44,536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(18,798)</w:t>
            </w:r>
          </w:p>
        </w:tc>
      </w:tr>
      <w:tr>
        <w:trPr>
          <w:trHeight w:val="58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17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223"/>
        </w:trPr>
        <w:tc>
          <w:tcPr>
            <w:tcW w:w="17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AbbVie agreement:</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Royalties</w:t>
            </w:r>
          </w:p>
        </w:tc>
        <w:tc>
          <w:tcPr>
            <w:tcW w:w="1920" w:type="dxa"/>
            <w:vAlign w:val="bottom"/>
            <w:gridSpan w:val="3"/>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124,420</w:t>
            </w:r>
          </w:p>
        </w:tc>
        <w:tc>
          <w:tcPr>
            <w:tcW w:w="26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26,887</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Milestones</w:t>
            </w:r>
          </w:p>
        </w:tc>
        <w:tc>
          <w:tcPr>
            <w:tcW w:w="1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720" w:type="dxa"/>
            <w:vAlign w:val="bottom"/>
          </w:tcPr>
          <w:p>
            <w:pPr>
              <w:spacing w:after="0"/>
              <w:rPr>
                <w:sz w:val="19"/>
                <w:szCs w:val="19"/>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68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139,420</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26,887</w:t>
            </w:r>
          </w:p>
        </w:tc>
        <w:tc>
          <w:tcPr>
            <w:tcW w:w="8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recognized revenue of $139.4 million during the nine months ended June 30, 2018 as compared to $26.9 million during the same period in 2017. During the nine months ended June 30, 2018, revenue consisted primarily of royalties earned on the portion of AbbVie’s net sales of its respective HCV treatment regimens allocable to glecaprevir or paritaprevir, as well as a $15.0 million milestone payment earned upon AbbVie’s achievement of commercialization regulatory approval of MAVIRET™ in Japan. Substantially all of our royalties are now earned on MAVYRET/MAVIRET. During the nine months ended June 30, 2017, our revenue consisted solely of royalties earned on the portion of AbbVie’s net sales of its HCV treatment regimens allocable to paritaprevir.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0" w:lineRule="exact"/>
        <w:rPr>
          <w:sz w:val="20"/>
          <w:szCs w:val="20"/>
          <w:color w:val="auto"/>
        </w:rPr>
      </w:pPr>
    </w:p>
    <w:p>
      <w:pPr>
        <w:spacing w:after="0" w:line="31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440" w:type="dxa"/>
            <w:vAlign w:val="bottom"/>
            <w:vMerge w:val="restart"/>
          </w:tcPr>
          <w:p>
            <w:pPr>
              <w:spacing w:after="0"/>
              <w:rPr>
                <w:sz w:val="20"/>
                <w:szCs w:val="20"/>
                <w:color w:val="auto"/>
              </w:rPr>
            </w:pPr>
            <w:r>
              <w:rPr>
                <w:rFonts w:ascii="Arial" w:cs="Arial" w:eastAsia="Arial" w:hAnsi="Arial"/>
                <w:sz w:val="18"/>
                <w:szCs w:val="18"/>
                <w:color w:val="auto"/>
              </w:rPr>
              <w:t>R&amp;D programs:</w:t>
            </w:r>
          </w:p>
        </w:tc>
        <w:tc>
          <w:tcPr>
            <w:tcW w:w="240" w:type="dxa"/>
            <w:vAlign w:val="bottom"/>
          </w:tcPr>
          <w:p>
            <w:pPr>
              <w:spacing w:after="0"/>
              <w:rPr>
                <w:sz w:val="20"/>
                <w:szCs w:val="20"/>
                <w:color w:val="auto"/>
              </w:rPr>
            </w:pPr>
          </w:p>
        </w:tc>
        <w:tc>
          <w:tcPr>
            <w:tcW w:w="146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28,292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67,933</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increased $27.0 million for the nine months ended June 30, 2018 as compared to the same period in 2017. The increase was primarily due to progression of preclinical and clinical activities in our liver disease and virology programs. Increases were driven by an increase in headcount to support our studies and an increase in external costs for clinical and preclinical activities.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by $2.0 million for the nine months ended June 30, 2018 as compared to the same period in 2017. The increase was primarily due to an increase in compensation expense due to increased headcount and to a lesser extent an increase in external accounting and consulting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income (expense) increased $1.7 million for the nine months ended June 30, 2018 as compared to the same period in 2017 due to an increase in interest income due to higher average investment balances and an increase in interest rates year over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For the nine months ended June 30, 2018, we recorded income tax expense of $(12.7) million and for the comparable period in 2017, recorded an income tax benefit of $9.2 million. Income tax expense for the nine months ended June 30, 2018 was driven by our pre-tax income for the year which increased from the prior comparable period due to an increase in royalties and milestones earned under the AbbVie Agreement. Our estimated annual effective tax rate of 22.2% for the nine months ended June 30, 2018, differs from the U.S. federal statutory rate of 21.0% due to the revaluation adjustment against deferred tax assets due to a decrease in the federal corporate income tax rate as enacted under the U.S. Tax Cuts and Jobs Act (the “Tax Act”), offset by federal research and development tax credits and excess tax benefits from stock option exercises and restricted stock units vesting during the first nine months of 2018. For the nine months ended June 30, 2017, we recorded an income tax benefit due to our pre-tax loss during the first half of fiscal 2017. Our estimated annual effective tax rate of 32.9% for the nine months ended June 30, 2017, differs from the prior year U.S. federal statutory rate of 35.0% due to federal research and development tax credits which reduced our estimated annual effective tax rate slightly below the statutory rate.</w:t>
      </w:r>
    </w:p>
    <w:p>
      <w:pPr>
        <w:spacing w:after="0" w:line="16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Estimates used to prepare our income tax expense are based on our initial analysis of the Tax Act. Given the complexity of the Tax Act, anticipated guidance from the U.S. Treasury regarding implementation of the act, and potential for guidance from the Securities and Exchange Commission or the Financial Accounting Standards Board related to the act, these estimates may be adjusted during our fiscal 2018 to reflect any such guidance provided.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our principal sources of liquidity were cash, cash equivalents and short-term and long-term marketable securities totaling $295.5 million.</w:t>
      </w:r>
    </w:p>
    <w:p>
      <w:pPr>
        <w:spacing w:after="0" w:line="2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For the periods presented, we have financed our operations primarily through payments under our AbbVie collaboration. The following table shows a summary of our cash flows for the nine months ended June 30, 2018 and 2017:</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w w:val="93"/>
              </w:rPr>
              <w:t>Nine Months Ended</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3"/>
                <w:szCs w:val="13"/>
                <w:color w:val="auto"/>
              </w:rPr>
            </w:pPr>
          </w:p>
        </w:tc>
      </w:tr>
      <w:tr>
        <w:trPr>
          <w:trHeight w:val="156"/>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4"/>
          </w:tcPr>
          <w:p>
            <w:pPr>
              <w:jc w:val="center"/>
              <w:ind w:left="39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60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(4,653)</w:t>
            </w: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(27,453)</w:t>
            </w:r>
          </w:p>
        </w:tc>
        <w:tc>
          <w:tcPr>
            <w:tcW w:w="3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10,329</w:t>
            </w:r>
          </w:p>
        </w:tc>
        <w:tc>
          <w:tcPr>
            <w:tcW w:w="80" w:type="dxa"/>
            <w:vAlign w:val="bottom"/>
            <w:shd w:val="clear" w:color="auto" w:fill="CFF0FC"/>
          </w:tcPr>
          <w:p>
            <w:pPr>
              <w:spacing w:after="0"/>
              <w:rPr>
                <w:sz w:val="19"/>
                <w:szCs w:val="19"/>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3,376</w:t>
            </w:r>
          </w:p>
        </w:tc>
        <w:tc>
          <w:tcPr>
            <w:tcW w:w="60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23"/>
        </w:trPr>
        <w:tc>
          <w:tcPr>
            <w:tcW w:w="51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(23,198)</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increase in cash provided by operating activities of $5.5 million for the nine months ended June 30, 2018 as compared to the same period in 2017 is driven primarily by timing of payments received under our collaboration with AbbVie year over year, which were substantially offset by increased expenditures in research and development in order to progress clinical development and preclinical research in our proprietary programs. We received $92.8 million in cash during the nine months ended June 30, 2018 from AbbVie, including royalties and a $15.0 million milestone payment, compared to $32.2 million in cash during nine months ended June 30, 2017 which consisted exclusively of royalties. The increase in cash received from our collaboration agreement was offset by an increase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240"/>
        <w:spacing w:after="0" w:line="277" w:lineRule="auto"/>
        <w:rPr>
          <w:sz w:val="20"/>
          <w:szCs w:val="20"/>
          <w:color w:val="auto"/>
        </w:rPr>
      </w:pPr>
      <w:r>
        <w:rPr>
          <w:rFonts w:ascii="Arial" w:cs="Arial" w:eastAsia="Arial" w:hAnsi="Arial"/>
          <w:sz w:val="18"/>
          <w:szCs w:val="18"/>
          <w:color w:val="auto"/>
        </w:rPr>
        <w:t>cash spending on research and development to progress clinical development and preclinical research in our proprietary programs, and an increase in taxes paid of $20.4 million year over year due to timing of estimated tax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decrease in cash provided by investing activities of $37.8 million for the nine months ended June 30, 2018 as compared to the same period in 2017 was driven by the timing of purchases, sales and maturities of marketable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increase in net cash provided by financing activities of $3.4 million for the nine months ended June 30, 2018 as compared to the same period in 2017 was driven by an increase in proceeds from stock option exercises during the 2018 period as a result of the increase in the price of our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June 30, 2018, we had $295.5 million in cash, cash equivalents and short-term and long-term marketable securities. We believe that our existing cash, cash equivalents and marketable securities as of June 30, 2018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17" w:lineRule="exact"/>
        <w:rPr>
          <w:rFonts w:ascii="Arial" w:cs="Arial" w:eastAsia="Arial" w:hAnsi="Arial"/>
          <w:sz w:val="18"/>
          <w:szCs w:val="18"/>
          <w:color w:val="auto"/>
        </w:rPr>
      </w:pPr>
    </w:p>
    <w:p>
      <w:pPr>
        <w:ind w:left="1040" w:right="2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technologies, therapeutic candidates and therapies;</w:t>
      </w:r>
    </w:p>
    <w:p>
      <w:pPr>
        <w:spacing w:after="0" w:line="117" w:lineRule="exact"/>
        <w:rPr>
          <w:rFonts w:ascii="Arial" w:cs="Arial" w:eastAsia="Arial" w:hAnsi="Arial"/>
          <w:sz w:val="18"/>
          <w:szCs w:val="18"/>
          <w:color w:val="auto"/>
        </w:rPr>
      </w:pPr>
    </w:p>
    <w:p>
      <w:pPr>
        <w:ind w:left="1040" w:hanging="55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and amount of royalties on glecaprevir and paritaprevir and any sales of our product candidates, if any, or royalties thereon;</w:t>
      </w:r>
    </w:p>
    <w:p>
      <w:pPr>
        <w:spacing w:after="0" w:line="128" w:lineRule="exact"/>
        <w:rPr>
          <w:rFonts w:ascii="Arial" w:cs="Arial" w:eastAsia="Arial" w:hAnsi="Arial"/>
          <w:sz w:val="17"/>
          <w:szCs w:val="17"/>
          <w:color w:val="auto"/>
        </w:rPr>
      </w:pPr>
    </w:p>
    <w:p>
      <w:pPr>
        <w:ind w:left="1040" w:hanging="55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0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0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2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20" w:hanging="55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2017 Form 10-K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nine months ended June 30, 2018.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had cash, cash equivalents and short-term and long-term marketable securities of $295.5 million at June 30, 2018 consisting of cash, money market funds, commercial paper, corporate bonds and government securities. Interest income is sensitive to changes in the general level of interest rates; however, due to the nature of these investments, a 1% change in market interest rates would not be expected to have a material impact on our financial condition or results of operations. Other than our capital lease obligation, we had no debt outstanding as of June 30, 2018.</w:t>
      </w: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6"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21"/>
          <w:szCs w:val="21"/>
          <w:b w:val="1"/>
          <w:bCs w:val="1"/>
          <w:color w:val="auto"/>
        </w:rPr>
        <w:t>—</w:t>
      </w:r>
      <w:r>
        <w:rPr>
          <w:rFonts w:ascii="Arial" w:cs="Arial" w:eastAsia="Arial" w:hAnsi="Arial"/>
          <w:sz w:val="18"/>
          <w:szCs w:val="18"/>
          <w:b w:val="1"/>
          <w:bCs w:val="1"/>
          <w:color w:val="auto"/>
        </w:rPr>
        <w:t>OTHER INFORMATION</w:t>
      </w:r>
    </w:p>
    <w:p>
      <w:pPr>
        <w:sectPr>
          <w:pgSz w:w="11900" w:h="16838" w:orient="portrait"/>
          <w:cols w:equalWidth="0" w:num="1">
            <w:col w:w="11400"/>
          </w:cols>
          <w:pgMar w:left="240" w:top="328" w:right="259" w:bottom="1440" w:gutter="0" w:footer="0" w:header="0"/>
        </w:sectPr>
      </w:pPr>
    </w:p>
    <w:p>
      <w:pPr>
        <w:spacing w:after="0" w:line="227" w:lineRule="exact"/>
        <w:rPr>
          <w:sz w:val="20"/>
          <w:szCs w:val="20"/>
          <w:color w:val="auto"/>
        </w:rPr>
      </w:pPr>
    </w:p>
    <w:p>
      <w:pPr>
        <w:spacing w:after="0" w:line="378" w:lineRule="auto"/>
        <w:rPr>
          <w:sz w:val="20"/>
          <w:szCs w:val="20"/>
          <w:color w:val="auto"/>
        </w:rPr>
      </w:pPr>
      <w:r>
        <w:rPr>
          <w:rFonts w:ascii="Arial" w:cs="Arial" w:eastAsia="Arial" w:hAnsi="Arial"/>
          <w:sz w:val="18"/>
          <w:szCs w:val="18"/>
          <w:b w:val="1"/>
          <w:bCs w:val="1"/>
          <w:color w:val="auto"/>
        </w:rPr>
        <w:t>ITEM 1A. RISK FACTORS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960"/>
          </w:cols>
          <w:pgMar w:left="240" w:top="328" w:right="259" w:bottom="1440" w:gutter="0" w:footer="0" w:header="0"/>
          <w:type w:val="continuous"/>
        </w:sectPr>
      </w:pPr>
    </w:p>
    <w:p>
      <w:pPr>
        <w:spacing w:after="0" w:line="254" w:lineRule="auto"/>
        <w:rPr>
          <w:sz w:val="20"/>
          <w:szCs w:val="20"/>
          <w:color w:val="auto"/>
        </w:rPr>
      </w:pPr>
      <w:r>
        <w:rPr>
          <w:rFonts w:ascii="Arial" w:cs="Arial" w:eastAsia="Arial" w:hAnsi="Arial"/>
          <w:sz w:val="18"/>
          <w:szCs w:val="18"/>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30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i w:val="1"/>
          <w:iCs w:val="1"/>
          <w:color w:val="auto"/>
        </w:rPr>
        <w:t>The statement of risk factors provided in this Item 1A includes any material changes to and supersedes the statement of risk factors associated with our business previously disclosed in Item 1A of our Quarterly Report on Form 10-Q for the quarter ended March 31, 2018 filed on May 10, 2018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73"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generate revenue will depend primarily on the success of AbbVie’s continued efforts to commercialize MAVYRET/MAVIRET. Such success is subject to significant uncertainty, and we have no control over the resources, time and effort that AbbVie may devote to this regimen. Any of several events or factors could have a material adverse effect on our ability to generate revenue from AbbVie’s commercialization of glecaprevir in combination therapies. For example, AbbVie:</w:t>
      </w:r>
    </w:p>
    <w:p>
      <w:pPr>
        <w:spacing w:after="0" w:line="50" w:lineRule="exact"/>
        <w:rPr>
          <w:sz w:val="20"/>
          <w:szCs w:val="20"/>
          <w:color w:val="auto"/>
        </w:rPr>
      </w:pPr>
    </w:p>
    <w:p>
      <w:pPr>
        <w:ind w:left="1040" w:right="100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may not achieve satisfactory levels of market acceptance and reimbursement by physicians, patients and third-party payers for the MAVYRET/MAVIRET regimen in the various markets of the world where it is being introduced and sold by AbbVie;</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type w:val="continuous"/>
        </w:sectPr>
      </w:pPr>
    </w:p>
    <w:bookmarkStart w:id="31" w:name="page32"/>
    <w:bookmarkEnd w:id="31"/>
    <w:p>
      <w:pPr>
        <w:ind w:left="1040" w:right="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be able to manufacture paritaprevir or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and may make decisions with which we do not agree. If AbbVie acts in a manner that is not in our best interest, then it could adversely affect our business and prospects.</w:t>
      </w:r>
    </w:p>
    <w:p>
      <w:pPr>
        <w:spacing w:after="0" w:line="28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quarterly royalty revenue from AbbVie’s net sales of its MAVYRET/MAVIRET regimen have grown substantially even as it is priced well below the pricing of AbbVie’s first HCV regimens, and below that of its principal competitor, Gilead. While commercialization of this regimen is exclusively in AbbVie’s control without any input from us, we believe it is possible that prices will decline further due to payers obtaining additional discounts or competitive market dynamics and that there may be fluctuation in AbbVie’s market share over time due to competitive actions by Gilead. We also note Gilead has reported a decline year over year across most major geographic markets in the number of new patients starting on DAA treatments for HCV.</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such regimen and our royalty revenue derived from its sale.</w:t>
      </w:r>
    </w:p>
    <w:p>
      <w:pPr>
        <w:spacing w:after="0" w:line="30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7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4"/>
          <w:szCs w:val="14"/>
          <w:color w:val="auto"/>
        </w:rPr>
        <w:t>®</w:t>
      </w:r>
      <w:r>
        <w:rPr>
          <w:rFonts w:ascii="Arial" w:cs="Arial" w:eastAsia="Arial" w:hAnsi="Arial"/>
          <w:sz w:val="17"/>
          <w:szCs w:val="17"/>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4"/>
          <w:szCs w:val="14"/>
          <w:color w:val="auto"/>
        </w:rPr>
        <w:t>®</w:t>
      </w:r>
      <w:r>
        <w:rPr>
          <w:rFonts w:ascii="Arial" w:cs="Arial" w:eastAsia="Arial" w:hAnsi="Arial"/>
          <w:sz w:val="17"/>
          <w:szCs w:val="17"/>
          <w:color w:val="auto"/>
        </w:rPr>
        <w:t xml:space="preserve"> (a fixed-dose combination of sofosbuvir and ledipasvir); and to a lesser extent - Merck’s Zepatier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 fixed-dose combination of grazoprevir and elbasvir).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right="20"/>
        <w:spacing w:after="0" w:line="259" w:lineRule="auto"/>
        <w:rPr>
          <w:sz w:val="20"/>
          <w:szCs w:val="20"/>
          <w:color w:val="auto"/>
        </w:rPr>
      </w:pPr>
      <w:r>
        <w:rPr>
          <w:rFonts w:ascii="Arial" w:cs="Arial" w:eastAsia="Arial" w:hAnsi="Arial"/>
          <w:sz w:val="18"/>
          <w:szCs w:val="18"/>
          <w:color w:val="auto"/>
        </w:rPr>
        <w:t>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We are aware of several companies with NASH programs that are significantly more advanced than ours, including companies with compounds in Phase 3 clinical trials in NASH, namely Intercept, Genfit, Gilead, and Tobira (Allergan). In May 2016, the FDA granted conditional approval for Intercept’s FXR agonist (brand name Ocaliva</w:t>
      </w:r>
      <w:r>
        <w:rPr>
          <w:rFonts w:ascii="Arial" w:cs="Arial" w:eastAsia="Arial" w:hAnsi="Arial"/>
          <w:sz w:val="23"/>
          <w:szCs w:val="23"/>
          <w:color w:val="auto"/>
          <w:vertAlign w:val="superscript"/>
        </w:rPr>
        <w:t>®</w:t>
      </w:r>
      <w:r>
        <w:rPr>
          <w:rFonts w:ascii="Arial" w:cs="Arial" w:eastAsia="Arial" w:hAnsi="Arial"/>
          <w:sz w:val="17"/>
          <w:szCs w:val="17"/>
          <w:color w:val="auto"/>
        </w:rPr>
        <w:t>) for the treatment of primary biliary cholangitis (PBC) in combination with first line therapy ursodeoxycholic acid (UDCA) in adults with an inadequate response to UDCA, or as monotherapy in adults unable to tolerate UDCA. In addition, a number of companies have NASH or related programs with compounds in Phase 2 clinical trials. These companies include Alberio, Astra-Zeneca, BMS, Boehringer Ingelheim, Can-Fite BioPharma, Conatus, Cirius, Cymabay, Galectin, Galmed, Gemphire Therapeutics, Gilead, GlaxoSmithKline, Immuron, Inventiva, Madrigal, Medicinova, Northsea Therapeutics, Novartis, NGM, Novo Nordisk, Pfizer and Viking. A significant number of other companies are conducting earlier stage clinical trials that may be applicable in NASH and other cholestatic diseases. There are also additional companies conducting preclinical studies in these disease areas.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Arrowhead, Enyo and Transgene.</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NASH, PBC, RSV and HBV programs, we will need to successfully:</w:t>
      </w:r>
    </w:p>
    <w:p>
      <w:pPr>
        <w:spacing w:after="0" w:line="79" w:lineRule="exact"/>
        <w:rPr>
          <w:sz w:val="20"/>
          <w:szCs w:val="20"/>
          <w:color w:val="auto"/>
        </w:rPr>
      </w:pPr>
    </w:p>
    <w:p>
      <w:pPr>
        <w:ind w:left="1040" w:right="1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and maintain patent protection for our product candidates and freedom from infringement of intellectual property of others;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payers and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EDP-305 and/or EDP-938 or in discovering further product candidates in addition to those product candidates, our ability to expand our business and achieve our strategic objectives will be impaired.</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3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40" w:right="680" w:hanging="519"/>
        <w:spacing w:after="0" w:line="308"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Expenses associated with development of our product candidates may cause our results of operations to fluctuate from period to period, which may result in operating losses.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Many of the preclinical and clinical development activities required for our product candidates have to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As a result, the expenses of our development programs and our operating results may fluctuate significantly from quarter to quarter, and our stock price may be adversely affected.</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27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 and our ability to achieve sustained profitability is unproven.</w:t>
      </w:r>
    </w:p>
    <w:p>
      <w:pPr>
        <w:spacing w:after="0" w:line="3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each of our past four fiscal years, our net income resulted primarily from license payments, including milestone payments we earned from AbbVie and royalties we earned since December 2014 on net sales of AbbVie’s HCV regimens allocated to our protease inhibitors included in those regimens. There is no assurance, however, that we will report net income in subsequent years. To date, we have not commercialized any products ourselves.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7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MAVYRET/MAVIRET is not successful. A failure to obtain this necessary capital when needed could force us to delay, limit, reduce or terminate some or all of our product development efforts.</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AbbVie in developing MAVYRET/MAVIRET. In addition, we may seek opportunities to in-license or otherwise acquire new therapeutic candidates and therapies.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our existing collaboration continues to generate substantial royalties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preclinical research and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opportunities to in-license or otherwise acquire new therapeutic candidates and therapies;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product candidates we develop independently;</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product candidates we develop independently that are approved for sale, including marketing, sales and distribution costs;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 independently, including manufacturing for clinical development;</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maintain our existing collaboration and to establish new collaborations, licensing or other arrangements and the financial terms of such agreements;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any litigation costs and the outcomes of any such litigation.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U.S. Tax Cuts and Jobs Act enacted in December 2017 includes significant changes from current tax legislation which could result in significant changes to our future tax positions.</w:t>
      </w:r>
    </w:p>
    <w:p>
      <w:pPr>
        <w:spacing w:after="0" w:line="6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U.S. Tax Cuts and Jobs Act (the “Tax Act”) enacted in December 2017 contains many provisions which differ from current tax law. These changes include, but are not limited to, the reduction in the federal corporate income tax rate from 35% to 21%, the elimination of a corporation’s ability to carryback net operating losses to prior taxable income periods and the elimination of the deductibility of certain performance-based equity awards under Section 162(m). We accounted for the Tax Act during the nine months ended June 30, 2018, which resulted in an adjustment that decreased our deferred tax assets by $3.8 million due to the reduction of the federal corporate income tax rate from 35% to 21%. Estimates used to prepare our income tax expense during the quarter are based on our initial analysis of the Tax Act. Given the complexity of the act, anticipated guidance from the U.S. Treasury regarding implementation of the act, and potential for guidance from the Securities and Exchange Commission or the Financial Accounting Standards Board related to the act, these estimates may be adjusted during our fiscal 2018 to reflect any such guidance provided.</w:t>
      </w:r>
    </w:p>
    <w:p>
      <w:pPr>
        <w:spacing w:after="0" w:line="2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was concluded in fiscal 2015, is subject to audit and adjustments that could affect our previously reported revenues.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contract with the National Institute of Allergy and Infectious Diseases, or NIAID, a division of the National Institutes of Health, an agency of the United States Department of Health and Human Services, to support our antibiotic program, was completed in fiscal 2015. Our contract-related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 and require payments by us to the U.S. government.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40" w:right="440" w:hanging="519"/>
        <w:spacing w:after="0" w:line="308" w:lineRule="auto"/>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guidelines specifically addressing requirements for the development of treatments for NASH, PBC, RSV or HBV;</w:t>
      </w:r>
    </w:p>
    <w:p>
      <w:pPr>
        <w:spacing w:after="0" w:line="62" w:lineRule="exact"/>
        <w:rPr>
          <w:rFonts w:ascii="Arial" w:cs="Arial" w:eastAsia="Arial" w:hAnsi="Arial"/>
          <w:sz w:val="18"/>
          <w:szCs w:val="18"/>
          <w:color w:val="auto"/>
        </w:rPr>
      </w:pPr>
    </w:p>
    <w:p>
      <w:pPr>
        <w:ind w:left="1040" w:right="300" w:hanging="519"/>
        <w:spacing w:after="0" w:line="342"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that the further development of successful therapies in our principal disease areas of NASH, RSV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7" w:name="page38"/>
    <w:bookmarkEnd w:id="37"/>
    <w:p>
      <w:pPr>
        <w:ind w:right="40"/>
        <w:spacing w:after="0" w:line="264" w:lineRule="auto"/>
        <w:rPr>
          <w:sz w:val="20"/>
          <w:szCs w:val="20"/>
          <w:color w:val="auto"/>
        </w:rPr>
      </w:pPr>
      <w:r>
        <w:rPr>
          <w:rFonts w:ascii="Arial" w:cs="Arial" w:eastAsia="Arial" w:hAnsi="Arial"/>
          <w:sz w:val="18"/>
          <w:szCs w:val="18"/>
          <w:b w:val="1"/>
          <w:bCs w:val="1"/>
          <w:i w:val="1"/>
          <w:iCs w:val="1"/>
          <w:color w:val="auto"/>
        </w:rPr>
        <w:t>EDP-305, EDP-938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3"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21"/>
          <w:szCs w:val="21"/>
          <w:color w:val="auto"/>
          <w:vertAlign w:val="superscript"/>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9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40" w:lineRule="exact"/>
        <w:rPr>
          <w:sz w:val="20"/>
          <w:szCs w:val="20"/>
          <w:color w:val="auto"/>
        </w:rPr>
      </w:pPr>
    </w:p>
    <w:p>
      <w:pPr>
        <w:ind w:left="1040" w:right="3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23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ind w:right="240"/>
        <w:spacing w:after="0" w:line="264" w:lineRule="auto"/>
        <w:rPr>
          <w:sz w:val="20"/>
          <w:szCs w:val="20"/>
          <w:color w:val="auto"/>
        </w:rPr>
      </w:pPr>
      <w:r>
        <w:rPr>
          <w:rFonts w:ascii="Arial" w:cs="Arial" w:eastAsia="Arial" w:hAnsi="Arial"/>
          <w:sz w:val="18"/>
          <w:szCs w:val="18"/>
          <w:color w:val="auto"/>
        </w:rPr>
        <w:t>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1"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 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the EMA or other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40" w:right="36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40" w:right="6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170"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ind w:right="140"/>
        <w:spacing w:after="0" w:line="277" w:lineRule="auto"/>
        <w:rPr>
          <w:sz w:val="20"/>
          <w:szCs w:val="20"/>
          <w:color w:val="auto"/>
        </w:rPr>
      </w:pPr>
      <w:r>
        <w:rPr>
          <w:rFonts w:ascii="Arial" w:cs="Arial" w:eastAsia="Arial" w:hAnsi="Arial"/>
          <w:sz w:val="17"/>
          <w:szCs w:val="17"/>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9" w:name="page40"/>
    <w:bookmarkEnd w:id="39"/>
    <w:p>
      <w:pPr>
        <w:ind w:right="420"/>
        <w:spacing w:after="0" w:line="277" w:lineRule="auto"/>
        <w:rPr>
          <w:sz w:val="20"/>
          <w:szCs w:val="20"/>
          <w:color w:val="auto"/>
        </w:rPr>
      </w:pPr>
      <w:r>
        <w:rPr>
          <w:rFonts w:ascii="Arial" w:cs="Arial" w:eastAsia="Arial" w:hAnsi="Arial"/>
          <w:sz w:val="18"/>
          <w:szCs w:val="18"/>
          <w:color w:val="auto"/>
        </w:rPr>
        <w:t>reimbursement before it can be approved for sale in that country. Any of the foregoing scenarios could materially harm the commercial prospects for our product candidates and our business.</w:t>
      </w:r>
    </w:p>
    <w:p>
      <w:pPr>
        <w:spacing w:after="0" w:line="2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40" w:right="28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Even if AbbVie continues to successfully commercialize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18 that have rejected the expansion of Medicaid eligibility for low income citizens, and some members of the U.S. Congress are still working to repeal the ACA. More recently, President Trump and the Republican majorities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75"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8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128" w:lineRule="exact"/>
        <w:rPr>
          <w:rFonts w:ascii="Arial" w:cs="Arial" w:eastAsia="Arial" w:hAnsi="Arial"/>
          <w:sz w:val="17"/>
          <w:szCs w:val="17"/>
          <w:color w:val="auto"/>
        </w:rPr>
      </w:pPr>
    </w:p>
    <w:p>
      <w:pPr>
        <w:ind w:left="1040" w:right="300" w:hanging="519"/>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55"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r>
        <w:rPr>
          <w:rFonts w:ascii="Arial" w:cs="Arial" w:eastAsia="Arial" w:hAnsi="Arial"/>
          <w:sz w:val="21"/>
          <w:szCs w:val="21"/>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2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2" w:name="page43"/>
    <w:bookmarkEnd w:id="42"/>
    <w:p>
      <w:pPr>
        <w:ind w:right="200"/>
        <w:spacing w:after="0" w:line="259" w:lineRule="auto"/>
        <w:rPr>
          <w:sz w:val="20"/>
          <w:szCs w:val="20"/>
          <w:color w:val="auto"/>
        </w:rPr>
      </w:pPr>
      <w:r>
        <w:rPr>
          <w:rFonts w:ascii="Arial" w:cs="Arial" w:eastAsia="Arial" w:hAnsi="Arial"/>
          <w:sz w:val="18"/>
          <w:szCs w:val="18"/>
          <w:color w:val="auto"/>
        </w:rPr>
        <w:t>MAVYRET/MAVIRET, as well as EDP-305, EDP-938, or any other product candidate that we may develop in the future, whether as part of a combination therapy or as a monotherapy, may not gain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40" w:right="380" w:hanging="519"/>
        <w:spacing w:after="0" w:line="308" w:lineRule="auto"/>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ind w:left="1040" w:right="40" w:hanging="519"/>
        <w:spacing w:after="0" w:line="264"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3" w:name="page44"/>
    <w:bookmarkEnd w:id="43"/>
    <w:p>
      <w:pPr>
        <w:ind w:right="8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33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40"/>
        <w:spacing w:after="0" w:line="259" w:lineRule="auto"/>
        <w:rPr>
          <w:sz w:val="20"/>
          <w:szCs w:val="20"/>
          <w:color w:val="auto"/>
        </w:rPr>
      </w:pPr>
      <w:r>
        <w:rPr>
          <w:rFonts w:ascii="Arial" w:cs="Arial" w:eastAsia="Arial" w:hAnsi="Arial"/>
          <w:sz w:val="18"/>
          <w:szCs w:val="18"/>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7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tarrifs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8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9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120"/>
        <w:spacing w:after="0" w:line="342" w:lineRule="auto"/>
        <w:rPr>
          <w:sz w:val="20"/>
          <w:szCs w:val="20"/>
          <w:color w:val="auto"/>
        </w:rPr>
      </w:pPr>
      <w:r>
        <w:rPr>
          <w:rFonts w:ascii="Arial" w:cs="Arial" w:eastAsia="Arial" w:hAnsi="Arial"/>
          <w:sz w:val="16"/>
          <w:szCs w:val="16"/>
          <w:color w:val="auto"/>
        </w:rPr>
        <w:t>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2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6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7" w:name="page48"/>
    <w:bookmarkEnd w:id="47"/>
    <w:p>
      <w:pPr>
        <w:ind w:right="22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1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1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8" w:name="page49"/>
    <w:bookmarkEnd w:id="48"/>
    <w:p>
      <w:pPr>
        <w:ind w:right="10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40" w:right="2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8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40" w:right="88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40" w:right="22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40" w:right="4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9" w:name="page50"/>
    <w:bookmarkEnd w:id="49"/>
    <w:p>
      <w:pPr>
        <w:ind w:right="20"/>
        <w:spacing w:after="0" w:line="277" w:lineRule="auto"/>
        <w:rPr>
          <w:sz w:val="20"/>
          <w:szCs w:val="20"/>
          <w:color w:val="auto"/>
        </w:rPr>
      </w:pPr>
      <w:r>
        <w:rPr>
          <w:rFonts w:ascii="Arial" w:cs="Arial" w:eastAsia="Arial" w:hAnsi="Arial"/>
          <w:sz w:val="18"/>
          <w:szCs w:val="18"/>
          <w:color w:val="auto"/>
        </w:rPr>
        <w:t>governing patents could change in unpredictable ways that could weaken our ability to obtain new patents or to maintain and enforce our existing patents and patents that we might obtain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3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or inhibit the commercialization of products we develop. We currently carry product liability insurance covering our clinical studies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Although we maintain such insurance, any claim that may be brought against us could result in a court judgment or settlement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amount that is not covered, in whole or in part, by our insurance or that is in excess of the limits of our insurance coverage. Our insurance policies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various exclusions, and we may be subject to a product liability claim for which we have no coverage. We will have to pay any amounts awarded by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or negotiated in a settlement that exceed our coverage limitations or that are not covered by our insurance, and we may not have, or be able to obtain,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sufficient capital to pay such amounts.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8"/>
          <w:szCs w:val="18"/>
          <w:color w:val="auto"/>
        </w:rPr>
        <w:t>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3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40" w:right="10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40" w:right="420" w:hanging="519"/>
        <w:spacing w:after="0" w:line="286"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40" w:right="100" w:hanging="519"/>
        <w:spacing w:after="0" w:line="25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40" w:right="54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3" w:lineRule="exact"/>
        <w:rPr>
          <w:rFonts w:ascii="Arial" w:cs="Arial" w:eastAsia="Arial" w:hAnsi="Arial"/>
          <w:sz w:val="18"/>
          <w:szCs w:val="18"/>
          <w:color w:val="auto"/>
        </w:rPr>
      </w:pPr>
    </w:p>
    <w:p>
      <w:pPr>
        <w:ind w:left="1040" w:right="240" w:hanging="519"/>
        <w:spacing w:after="0" w:line="276"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4" w:lineRule="exact"/>
        <w:rPr>
          <w:rFonts w:ascii="Arial" w:cs="Arial" w:eastAsia="Arial" w:hAnsi="Arial"/>
          <w:sz w:val="17"/>
          <w:szCs w:val="17"/>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1" w:name="page52"/>
    <w:bookmarkEnd w:id="51"/>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36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stock price has been volatile and could be subject to wide fluctuations in response to various factors, many of which are beyond our control. Since our initial public offering in March 2013 and through July 31, 2018, the price of our common stock on the NASDAQ Global Select Market has ranged from $16.18 to $127.77.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85" w:lineRule="exact"/>
        <w:rPr>
          <w:sz w:val="20"/>
          <w:szCs w:val="20"/>
          <w:color w:val="auto"/>
        </w:rPr>
      </w:pPr>
    </w:p>
    <w:p>
      <w:pPr>
        <w:jc w:val="both"/>
        <w:ind w:left="1040" w:right="60" w:hanging="519"/>
        <w:spacing w:after="0" w:line="342" w:lineRule="auto"/>
        <w:tabs>
          <w:tab w:leader="none" w:pos="10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by AbbVie regarding HCV treatment regimens containing paritaprevir or the MAVYRET/MAVIRET regimen containing glecaprevir as approved in the U.S., EU and Japan, including announcements regarding clinical, regulatory or commercial developments or our collaboration;</w:t>
      </w:r>
    </w:p>
    <w:p>
      <w:pPr>
        <w:spacing w:after="0" w:line="15" w:lineRule="exact"/>
        <w:rPr>
          <w:rFonts w:ascii="Arial" w:cs="Arial" w:eastAsia="Arial" w:hAnsi="Arial"/>
          <w:sz w:val="16"/>
          <w:szCs w:val="16"/>
          <w:color w:val="auto"/>
        </w:rPr>
      </w:pPr>
    </w:p>
    <w:p>
      <w:pPr>
        <w:ind w:left="1040" w:right="6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AbbVie’s paritaprevir-containing HCV treatment regimens to maintain their sales levels or AbbVie’s MAVYRET/MAVIRET regimen to achieve commercial success;</w:t>
      </w:r>
    </w:p>
    <w:p>
      <w:pPr>
        <w:spacing w:after="0" w:line="62"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other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2" w:name="page53"/>
    <w:bookmarkEnd w:id="52"/>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33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40" w:right="620" w:hanging="519"/>
        <w:spacing w:after="0" w:line="286"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40" w:right="1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3" w:name="page54"/>
    <w:bookmarkEnd w:id="53"/>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0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$4.5 million for severance and other non-equity-based benefits in the event of a termination of employment in connection with a change of control of our company. In addition, based on the closing price of our common stock as of June 30, 2018 of $115.90 per common share, the aggregate intrinsic value of unvested stock options and other equity awards subject to accelerated vesting upon these events was $62.0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will cease to be an “emerging growth company” as of our fiscal year ending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7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2018, we had 19.4 million shares of common stock outstanding. In addition, as of June 30, 2018, 2.7 million and 0.2 million shares of common stock that are subject to outstanding options or restricted stock unit awards, respectively, under our outstanding equity plans are eligible for sale in the public market to the extent permitted by the provisions of various vesting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4" w:name="page55"/>
    <w:bookmarkEnd w:id="54"/>
    <w:p>
      <w:pPr>
        <w:ind w:right="40"/>
        <w:spacing w:after="0" w:line="277" w:lineRule="auto"/>
        <w:rPr>
          <w:sz w:val="20"/>
          <w:szCs w:val="20"/>
          <w:color w:val="auto"/>
        </w:rPr>
      </w:pPr>
      <w:r>
        <w:rPr>
          <w:rFonts w:ascii="Arial" w:cs="Arial" w:eastAsia="Arial" w:hAnsi="Arial"/>
          <w:sz w:val="18"/>
          <w:szCs w:val="18"/>
          <w:color w:val="auto"/>
        </w:rPr>
        <w:t>schedules, and Rules 144 and 701 under the Securities Act. If these additional shares of common stock are sold, or it is perceived that they will be sold, in the public market, the trading price of our common stock could decline.</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gridSpan w:val="11"/>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260" w:type="dxa"/>
            <w:vAlign w:val="bottom"/>
            <w:gridSpan w:val="11"/>
            <w:vMerge w:val="restart"/>
          </w:tcPr>
          <w:p>
            <w:pPr>
              <w:ind w:left="21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2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5260" w:type="dxa"/>
            <w:vAlign w:val="bottom"/>
            <w:tcBorders>
              <w:top w:val="single" w:sz="8" w:color="auto"/>
            </w:tcBorders>
            <w:gridSpan w:val="11"/>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4980" w:type="dxa"/>
            <w:vAlign w:val="bottom"/>
            <w:tcBorders>
              <w:top w:val="single" w:sz="8" w:color="0000EE"/>
            </w:tcBorders>
            <w:gridSpan w:val="6"/>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Amended and Restated Bylaws of Enanta Pharmaceuticals, Inc. (as</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9">
              <w:r>
                <w:rPr>
                  <w:rFonts w:ascii="Arial" w:cs="Arial" w:eastAsia="Arial" w:hAnsi="Arial"/>
                  <w:sz w:val="18"/>
                  <w:szCs w:val="18"/>
                  <w:color w:val="0000EE"/>
                </w:rPr>
                <w:t>amended and restated in August 2015)</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4"/>
              </w:rPr>
            </w:pPr>
            <w:hyperlink w:anchor="page58">
              <w:r>
                <w:rPr>
                  <w:rFonts w:ascii="Arial" w:cs="Arial" w:eastAsia="Arial" w:hAnsi="Arial"/>
                  <w:sz w:val="18"/>
                  <w:szCs w:val="18"/>
                  <w:color w:val="0000EE"/>
                  <w:w w:val="94"/>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or 15d-14(a) of the Securities Exchange Act of 1934.</w:t>
              </w:r>
            </w:hyperlink>
          </w:p>
        </w:tc>
        <w:tc>
          <w:tcPr>
            <w:tcW w:w="128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260" w:type="dxa"/>
            <w:vAlign w:val="bottom"/>
            <w:gridSpan w:val="11"/>
          </w:tcPr>
          <w:p>
            <w:pPr>
              <w:spacing w:after="0"/>
              <w:rPr>
                <w:rFonts w:ascii="Arial" w:cs="Arial" w:eastAsia="Arial" w:hAnsi="Arial"/>
                <w:sz w:val="18"/>
                <w:szCs w:val="18"/>
                <w:color w:val="0000EE"/>
                <w:w w:val="97"/>
              </w:rPr>
            </w:pPr>
            <w:hyperlink w:anchor="page59">
              <w:r>
                <w:rPr>
                  <w:rFonts w:ascii="Arial" w:cs="Arial" w:eastAsia="Arial" w:hAnsi="Arial"/>
                  <w:sz w:val="18"/>
                  <w:szCs w:val="18"/>
                  <w:color w:val="0000EE"/>
                  <w:w w:val="97"/>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51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Certification of the Chief Executive Officer and Chief Financial Officer</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60" w:type="dxa"/>
            <w:vAlign w:val="bottom"/>
            <w:gridSpan w:val="11"/>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pursuant to 18 U.S.C. Section 1350, as adopted pursuant to Section 906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of the Sarbanes-Oxley Act of 2002.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40" w:right="200" w:hanging="708"/>
        <w:spacing w:after="0" w:line="288" w:lineRule="auto"/>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of June 30, 2018, formatted in XBRL (eXtensible Business Reporting Language):</w:t>
      </w:r>
    </w:p>
    <w:p>
      <w:pPr>
        <w:ind w:left="1040" w:right="20"/>
        <w:spacing w:after="0" w:line="287" w:lineRule="auto"/>
        <w:rPr>
          <w:rFonts w:ascii="Arial" w:cs="Arial" w:eastAsia="Arial" w:hAnsi="Arial"/>
          <w:sz w:val="16"/>
          <w:szCs w:val="16"/>
          <w:color w:val="auto"/>
        </w:rPr>
      </w:pPr>
      <w:r>
        <w:rPr>
          <w:rFonts w:ascii="Arial" w:cs="Arial" w:eastAsia="Arial" w:hAnsi="Arial"/>
          <w:sz w:val="16"/>
          <w:szCs w:val="16"/>
          <w:color w:val="auto"/>
        </w:rPr>
        <w:t>(i) Consolidated Balance Sheets as of June 30, 2018 and September 30, 2017 of Enanta Pharmaceuticals, Inc., (ii) Consolidated Statements of Operations for the three and nine months ended June 30, 2018 and 2017 of Enanta Pharmaceuticals, Inc., (iii) Consolidated Statements of Comprehensive Income (Loss) for the three and nine months ended June 30, 2018 and 2017 of Enanta Pharmaceuticals, Inc., (iv) Consolidated Statements of Cash Flows for the nine months ended June 30, 2018 and 2017 of Enanta Pharmaceuticals, Inc., and (v) Notes to Consolidated Financial Statements of Enanta Pharmaceuticals, Inc.</w:t>
      </w:r>
    </w:p>
    <w:p>
      <w:pPr>
        <w:spacing w:after="0" w:line="3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2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2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6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70"/>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00" w:space="100"/>
            <w:col w:w="5020"/>
          </w:cols>
          <w:pgMar w:left="240" w:top="33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337" w:right="4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420" w:hanging="512"/>
        <w:spacing w:after="0" w:line="26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June 30, 2018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Date: August 9, 2018</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200" w:type="dxa"/>
            <w:vAlign w:val="bottom"/>
          </w:tcPr>
          <w:p>
            <w:pPr>
              <w:spacing w:after="0"/>
              <w:rPr>
                <w:sz w:val="20"/>
                <w:szCs w:val="20"/>
                <w:color w:val="auto"/>
              </w:rPr>
            </w:pPr>
            <w:r>
              <w:rPr>
                <w:rFonts w:ascii="Arial" w:cs="Arial" w:eastAsia="Arial" w:hAnsi="Arial"/>
                <w:sz w:val="18"/>
                <w:szCs w:val="18"/>
                <w:color w:val="auto"/>
              </w:rPr>
              <w:t>Date: August 9, 2018</w:t>
            </w:r>
          </w:p>
        </w:tc>
        <w:tc>
          <w:tcPr>
            <w:tcW w:w="3120" w:type="dxa"/>
            <w:vAlign w:val="bottom"/>
          </w:tcPr>
          <w:p>
            <w:pPr>
              <w:ind w:left="2660"/>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10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1."/>
      <w:numFmt w:val="decimal"/>
      <w:start w:val="3"/>
    </w:lvl>
  </w:abstractNum>
  <w:abstractNum w:abstractNumId="5">
    <w:nsid w:val="189A769B"/>
    <w:multiLevelType w:val="hybridMultilevel"/>
    <w:lvl w:ilvl="0">
      <w:lvlJc w:val="left"/>
      <w:lvlText w:val="%1."/>
      <w:numFmt w:val="decimal"/>
      <w:start w:val="4"/>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start w:val="6"/>
    </w:lvl>
  </w:abstractNum>
  <w:abstractNum w:abstractNumId="8">
    <w:nsid w:val="2CA88611"/>
    <w:multiLevelType w:val="hybridMultilevel"/>
    <w:lvl w:ilvl="0">
      <w:lvlJc w:val="left"/>
      <w:lvlText w:val="%1."/>
      <w:numFmt w:val="decimal"/>
      <w:start w:val="7"/>
    </w:lvl>
  </w:abstractNum>
  <w:abstractNum w:abstractNumId="9">
    <w:nsid w:val="836C40E"/>
    <w:multiLevelType w:val="hybridMultilevel"/>
    <w:lvl w:ilvl="0">
      <w:lvlJc w:val="left"/>
      <w:lvlText w:val="%1."/>
      <w:numFmt w:val="decimal"/>
      <w:start w:val="8"/>
    </w:lvl>
  </w:abstractNum>
  <w:abstractNum w:abstractNumId="10">
    <w:nsid w:val="2901D82"/>
    <w:multiLevelType w:val="hybridMultilevel"/>
    <w:lvl w:ilvl="0">
      <w:lvlJc w:val="left"/>
      <w:lvlText w:val="%1."/>
      <w:numFmt w:val="decimal"/>
      <w:start w:val="9"/>
    </w:lvl>
  </w:abstractNum>
  <w:abstractNum w:abstractNumId="11">
    <w:nsid w:val="3A95F874"/>
    <w:multiLevelType w:val="hybridMultilevel"/>
    <w:lvl w:ilvl="0">
      <w:lvlJc w:val="left"/>
      <w:lvlText w:val="%1."/>
      <w:numFmt w:val="decimal"/>
      <w:start w:val="10"/>
    </w:lvl>
  </w:abstractNum>
  <w:abstractNum w:abstractNumId="12">
    <w:nsid w:val="8138641"/>
    <w:multiLevelType w:val="hybridMultilevel"/>
    <w:lvl w:ilvl="0">
      <w:lvlJc w:val="left"/>
      <w:lvlText w:val="%1."/>
      <w:numFmt w:val="decimal"/>
      <w:start w:val="1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o"/>
      <w:numFmt w:val="bullet"/>
      <w:start w:val="1"/>
    </w:lvl>
    <w:lvl w:ilvl="1">
      <w:lvlJc w:val="left"/>
      <w:lvlText w:val="▪"/>
      <w:numFmt w:val="bullet"/>
      <w:start w:val="1"/>
    </w:lvl>
  </w:abstractNum>
  <w:abstractNum w:abstractNumId="16">
    <w:nsid w:val="6CEAF087"/>
    <w:multiLevelType w:val="hybridMultilevel"/>
    <w:lvl w:ilvl="0">
      <w:lvlJc w:val="left"/>
      <w:lvlText w:val="•"/>
      <w:numFmt w:val="bullet"/>
      <w:start w:val="1"/>
    </w:lvl>
    <w:lvl w:ilvl="1">
      <w:lvlJc w:val="left"/>
      <w:lvlText w:val="o"/>
      <w:numFmt w:val="bullet"/>
      <w:start w:val="1"/>
    </w:lvl>
  </w:abstractNum>
  <w:abstractNum w:abstractNumId="17">
    <w:nsid w:val="22221A70"/>
    <w:multiLevelType w:val="hybridMultilevel"/>
    <w:lvl w:ilvl="0">
      <w:lvlJc w:val="left"/>
      <w:lvlText w:val="•"/>
      <w:numFmt w:val="bullet"/>
      <w:start w:val="1"/>
    </w:lvl>
    <w:lvl w:ilvl="1">
      <w:lvlJc w:val="left"/>
      <w:lvlText w:val="o"/>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0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8" Type="http://schemas.openxmlformats.org/officeDocument/2006/relationships/hyperlink" Target="http://www.sec.gov/Archives/edgar/data/1177648/000119312513132679/d511662dex31.htm" TargetMode="External"/><Relationship Id="rId79"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2019-12-28T20:12:26Z</dcterms:created>
  <dcterms:modified xsi:type="dcterms:W3CDTF">2019-12-28T20:12:26Z</dcterms:modified>
</cp:coreProperties>
</file>