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ENANTA PHARMACEUTICALS,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000" w:type="dxa"/>
        <w:tblCellMar>
          <w:top w:w="0" w:type="dxa"/>
          <w:left w:w="0" w:type="dxa"/>
          <w:bottom w:w="0" w:type="dxa"/>
          <w:right w:w="0" w:type="dxa"/>
        </w:tblCellMar>
      </w:tblPr>
      <w:tr>
        <w:trPr>
          <w:trHeight w:val="212"/>
        </w:trPr>
        <w:tc>
          <w:tcPr>
            <w:tcW w:w="2900" w:type="dxa"/>
            <w:vAlign w:val="bottom"/>
          </w:tcPr>
          <w:p>
            <w:pPr>
              <w:jc w:val="center"/>
              <w:ind w:right="922"/>
              <w:spacing w:after="0"/>
              <w:rPr>
                <w:sz w:val="20"/>
                <w:szCs w:val="20"/>
                <w:color w:val="auto"/>
              </w:rPr>
            </w:pPr>
            <w:r>
              <w:rPr>
                <w:rFonts w:ascii="Arial" w:cs="Arial" w:eastAsia="Arial" w:hAnsi="Arial"/>
                <w:sz w:val="18"/>
                <w:szCs w:val="18"/>
                <w:b w:val="1"/>
                <w:bCs w:val="1"/>
                <w:color w:val="auto"/>
                <w:w w:val="98"/>
              </w:rPr>
              <w:t>DELAWARE</w:t>
            </w:r>
          </w:p>
        </w:tc>
        <w:tc>
          <w:tcPr>
            <w:tcW w:w="3920" w:type="dxa"/>
            <w:vAlign w:val="bottom"/>
          </w:tcPr>
          <w:p>
            <w:pPr>
              <w:jc w:val="center"/>
              <w:spacing w:after="0"/>
              <w:rPr>
                <w:sz w:val="20"/>
                <w:szCs w:val="20"/>
                <w:color w:val="auto"/>
              </w:rPr>
            </w:pPr>
            <w:r>
              <w:rPr>
                <w:rFonts w:ascii="Arial" w:cs="Arial" w:eastAsia="Arial" w:hAnsi="Arial"/>
                <w:sz w:val="18"/>
                <w:szCs w:val="18"/>
                <w:b w:val="1"/>
                <w:bCs w:val="1"/>
                <w:color w:val="auto"/>
                <w:w w:val="89"/>
              </w:rPr>
              <w:t>2834</w:t>
            </w:r>
          </w:p>
        </w:tc>
        <w:tc>
          <w:tcPr>
            <w:tcW w:w="2500" w:type="dxa"/>
            <w:vAlign w:val="bottom"/>
          </w:tcPr>
          <w:p>
            <w:pPr>
              <w:jc w:val="center"/>
              <w:ind w:left="982"/>
              <w:spacing w:after="0"/>
              <w:rPr>
                <w:sz w:val="20"/>
                <w:szCs w:val="20"/>
                <w:color w:val="auto"/>
              </w:rPr>
            </w:pPr>
            <w:r>
              <w:rPr>
                <w:rFonts w:ascii="Arial" w:cs="Arial" w:eastAsia="Arial" w:hAnsi="Arial"/>
                <w:sz w:val="18"/>
                <w:szCs w:val="18"/>
                <w:b w:val="1"/>
                <w:bCs w:val="1"/>
                <w:color w:val="auto"/>
                <w:w w:val="91"/>
              </w:rPr>
              <w:t>04-3205099</w:t>
            </w:r>
          </w:p>
        </w:tc>
      </w:tr>
      <w:tr>
        <w:trPr>
          <w:trHeight w:val="149"/>
        </w:trPr>
        <w:tc>
          <w:tcPr>
            <w:tcW w:w="2900" w:type="dxa"/>
            <w:vAlign w:val="bottom"/>
          </w:tcPr>
          <w:p>
            <w:pPr>
              <w:jc w:val="center"/>
              <w:ind w:right="942"/>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(Primary Standard Industrial</w:t>
            </w:r>
          </w:p>
        </w:tc>
        <w:tc>
          <w:tcPr>
            <w:tcW w:w="2500" w:type="dxa"/>
            <w:vAlign w:val="bottom"/>
          </w:tcPr>
          <w:p>
            <w:pPr>
              <w:jc w:val="center"/>
              <w:ind w:left="982"/>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900" w:type="dxa"/>
            <w:vAlign w:val="bottom"/>
          </w:tcPr>
          <w:p>
            <w:pPr>
              <w:jc w:val="center"/>
              <w:ind w:right="942"/>
              <w:spacing w:after="0"/>
              <w:rPr>
                <w:sz w:val="20"/>
                <w:szCs w:val="20"/>
                <w:color w:val="auto"/>
              </w:rPr>
            </w:pPr>
            <w:r>
              <w:rPr>
                <w:rFonts w:ascii="Arial" w:cs="Arial" w:eastAsia="Arial" w:hAnsi="Arial"/>
                <w:sz w:val="14"/>
                <w:szCs w:val="14"/>
                <w:b w:val="1"/>
                <w:bCs w:val="1"/>
                <w:color w:val="auto"/>
                <w:w w:val="94"/>
              </w:rPr>
              <w:t>incorporation or organization)</w:t>
            </w:r>
          </w:p>
        </w:tc>
        <w:tc>
          <w:tcPr>
            <w:tcW w:w="3920" w:type="dxa"/>
            <w:vAlign w:val="bottom"/>
          </w:tcPr>
          <w:p>
            <w:pPr>
              <w:jc w:val="center"/>
              <w:spacing w:after="0"/>
              <w:rPr>
                <w:sz w:val="20"/>
                <w:szCs w:val="20"/>
                <w:color w:val="auto"/>
              </w:rPr>
            </w:pPr>
            <w:r>
              <w:rPr>
                <w:rFonts w:ascii="Arial" w:cs="Arial" w:eastAsia="Arial" w:hAnsi="Arial"/>
                <w:sz w:val="14"/>
                <w:szCs w:val="14"/>
                <w:b w:val="1"/>
                <w:bCs w:val="1"/>
                <w:color w:val="auto"/>
                <w:w w:val="92"/>
              </w:rPr>
              <w:t>Classification Code Number)</w:t>
            </w:r>
          </w:p>
        </w:tc>
        <w:tc>
          <w:tcPr>
            <w:tcW w:w="2500" w:type="dxa"/>
            <w:vAlign w:val="bottom"/>
          </w:tcPr>
          <w:p>
            <w:pPr>
              <w:jc w:val="center"/>
              <w:ind w:left="982"/>
              <w:spacing w:after="0"/>
              <w:rPr>
                <w:sz w:val="20"/>
                <w:szCs w:val="20"/>
                <w:color w:val="auto"/>
              </w:rPr>
            </w:pPr>
            <w:r>
              <w:rPr>
                <w:rFonts w:ascii="Arial" w:cs="Arial" w:eastAsia="Arial" w:hAnsi="Arial"/>
                <w:sz w:val="14"/>
                <w:szCs w:val="14"/>
                <w:b w:val="1"/>
                <w:bCs w:val="1"/>
                <w:color w:val="auto"/>
                <w:w w:val="96"/>
              </w:rPr>
              <w:t>Identification Number)</w:t>
            </w:r>
          </w:p>
        </w:tc>
      </w:tr>
    </w:tbl>
    <w:p>
      <w:pPr>
        <w:spacing w:after="0" w:line="1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500 Arsenal Street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Watertown, Massachusetts 02472</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607-0800</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238"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5">
            <w:col w:w="8640" w:space="180"/>
            <w:col w:w="260" w:space="100"/>
            <w:col w:w="160" w:space="180"/>
            <w:col w:w="220" w:space="80"/>
            <w:col w:w="1600"/>
          </w:cols>
          <w:pgMar w:left="240" w:top="230" w:right="239" w:bottom="1440" w:gutter="0" w:footer="0" w:header="0"/>
          <w:type w:val="continuous"/>
        </w:sectPr>
      </w:pPr>
    </w:p>
    <w:p>
      <w:pPr>
        <w:spacing w:after="0" w:line="37"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The number of shares of the registrant’s Common Stock, $0.01 par value, outstanding as of April 30, 2015, was 18,692,026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FORM 10-Q — Quarterly Report</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For the Quarterly Period Ended March 31, 2015</w:t>
      </w:r>
    </w:p>
    <w:p>
      <w:pPr>
        <w:spacing w:after="0" w:line="20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10940" w:type="dxa"/>
            <w:vAlign w:val="bottom"/>
            <w:gridSpan w:val="18"/>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I—FINANCIAL INFORMATION</w:t>
              </w:r>
            </w:hyperlink>
          </w:p>
        </w:tc>
        <w:tc>
          <w:tcPr>
            <w:tcW w:w="300" w:type="dxa"/>
            <w:vAlign w:val="bottom"/>
          </w:tcPr>
          <w:p>
            <w:pPr>
              <w:spacing w:after="0"/>
              <w:rPr>
                <w:sz w:val="22"/>
                <w:szCs w:val="22"/>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06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Financial Statements</w:t>
              </w:r>
            </w:hyperlink>
          </w:p>
        </w:tc>
        <w:tc>
          <w:tcPr>
            <w:tcW w:w="300" w:type="dxa"/>
            <w:vAlign w:val="bottom"/>
          </w:tcPr>
          <w:p>
            <w:pPr>
              <w:spacing w:after="0"/>
              <w:rPr>
                <w:sz w:val="24"/>
                <w:szCs w:val="24"/>
                <w:color w:val="auto"/>
              </w:rPr>
            </w:pP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6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Consolidated Balance Sheets as of March 31, 2015 and September 30, 2014</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980" w:type="dxa"/>
            <w:vAlign w:val="bottom"/>
            <w:gridSpan w:val="3"/>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10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Unaudited Consolidated Statements of Operations for the three and six months ended March 31, 2015 and 2014</w:t>
              </w:r>
            </w:hyperlink>
          </w:p>
        </w:tc>
        <w:tc>
          <w:tcPr>
            <w:tcW w:w="196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60" w:type="dxa"/>
            <w:vAlign w:val="bottom"/>
            <w:gridSpan w:val="16"/>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Unaudited Consolidated Statements of Comprehensive Income (Loss) for the three and six months ended March 31, 2015 and 2014</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Consolidated Statements of Cash Flows for the six months ended March 31, 2015 and 2014</w:t>
              </w:r>
            </w:hyperlink>
          </w:p>
        </w:tc>
        <w:tc>
          <w:tcPr>
            <w:tcW w:w="2120" w:type="dxa"/>
            <w:vAlign w:val="bottom"/>
            <w:tcBorders>
              <w:top w:val="single" w:sz="8" w:color="0000EE"/>
            </w:tcBorders>
            <w:gridSpan w:val="2"/>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96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Unaudited Notes to Consolidated Financial Statements</w:t>
              </w:r>
            </w:hyperlink>
          </w:p>
        </w:tc>
        <w:tc>
          <w:tcPr>
            <w:tcW w:w="6100" w:type="dxa"/>
            <w:vAlign w:val="bottom"/>
            <w:gridSpan w:val="7"/>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0060" w:type="dxa"/>
            <w:vAlign w:val="bottom"/>
            <w:gridSpan w:val="16"/>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1"/>
              </w:rPr>
            </w:pPr>
            <w:hyperlink w:anchor="page27">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2"/>
          </w:tcPr>
          <w:p>
            <w:pPr>
              <w:spacing w:after="0"/>
              <w:rPr>
                <w:sz w:val="24"/>
                <w:szCs w:val="24"/>
                <w:color w:val="auto"/>
              </w:rPr>
            </w:pPr>
          </w:p>
        </w:tc>
        <w:tc>
          <w:tcPr>
            <w:tcW w:w="3600" w:type="dxa"/>
            <w:vAlign w:val="bottom"/>
            <w:gridSpan w:val="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7">
              <w:r>
                <w:rPr>
                  <w:rFonts w:ascii="Arial" w:cs="Arial" w:eastAsia="Arial" w:hAnsi="Arial"/>
                  <w:sz w:val="18"/>
                  <w:szCs w:val="18"/>
                  <w:color w:val="0000EE"/>
                  <w:w w:val="88"/>
                </w:rPr>
                <w:t>Controls and Procedures</w:t>
              </w:r>
            </w:hyperlink>
          </w:p>
        </w:tc>
        <w:tc>
          <w:tcPr>
            <w:tcW w:w="8280" w:type="dxa"/>
            <w:vAlign w:val="bottom"/>
            <w:gridSpan w:val="11"/>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04"/>
        </w:trPr>
        <w:tc>
          <w:tcPr>
            <w:tcW w:w="10940" w:type="dxa"/>
            <w:vAlign w:val="bottom"/>
            <w:gridSpan w:val="18"/>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II—OTHER INFORMATION</w:t>
              </w:r>
            </w:hyperlink>
          </w:p>
        </w:tc>
        <w:tc>
          <w:tcPr>
            <w:tcW w:w="300" w:type="dxa"/>
            <w:vAlign w:val="bottom"/>
          </w:tcPr>
          <w:p>
            <w:pPr>
              <w:spacing w:after="0"/>
              <w:rPr>
                <w:sz w:val="24"/>
                <w:szCs w:val="24"/>
                <w:color w:val="auto"/>
              </w:rPr>
            </w:pPr>
          </w:p>
        </w:tc>
      </w:tr>
      <w:tr>
        <w:trPr>
          <w:trHeight w:val="304"/>
        </w:trPr>
        <w:tc>
          <w:tcPr>
            <w:tcW w:w="88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Risk Factors</w:t>
              </w:r>
            </w:hyperlink>
          </w:p>
        </w:tc>
        <w:tc>
          <w:tcPr>
            <w:tcW w:w="1060" w:type="dxa"/>
            <w:vAlign w:val="bottom"/>
            <w:tcBorders>
              <w:top w:val="single" w:sz="8" w:color="0000EE"/>
            </w:tcBorders>
            <w:gridSpan w:val="3"/>
          </w:tcPr>
          <w:p>
            <w:pPr>
              <w:spacing w:after="0"/>
              <w:rPr>
                <w:sz w:val="24"/>
                <w:szCs w:val="24"/>
                <w:color w:val="auto"/>
              </w:rPr>
            </w:pPr>
          </w:p>
        </w:tc>
        <w:tc>
          <w:tcPr>
            <w:tcW w:w="8080" w:type="dxa"/>
            <w:vAlign w:val="bottom"/>
            <w:gridSpan w:val="10"/>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118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53">
              <w:r>
                <w:rPr>
                  <w:rFonts w:ascii="Arial" w:cs="Arial" w:eastAsia="Arial" w:hAnsi="Arial"/>
                  <w:sz w:val="18"/>
                  <w:szCs w:val="18"/>
                  <w:color w:val="0000EE"/>
                  <w:w w:val="87"/>
                </w:rPr>
                <w:t>Use of Proceeds</w:t>
              </w:r>
            </w:hyperlink>
          </w:p>
        </w:tc>
        <w:tc>
          <w:tcPr>
            <w:tcW w:w="888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04"/>
        </w:trPr>
        <w:tc>
          <w:tcPr>
            <w:tcW w:w="8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0060" w:type="dxa"/>
            <w:vAlign w:val="bottom"/>
            <w:gridSpan w:val="16"/>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Exhibits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304"/>
        </w:trPr>
        <w:tc>
          <w:tcPr>
            <w:tcW w:w="880" w:type="dxa"/>
            <w:vAlign w:val="bottom"/>
            <w:gridSpan w:val="2"/>
          </w:tcPr>
          <w:p>
            <w:pPr>
              <w:spacing w:after="0"/>
              <w:rPr>
                <w:rFonts w:ascii="Arial" w:cs="Arial" w:eastAsia="Arial" w:hAnsi="Arial"/>
                <w:sz w:val="18"/>
                <w:szCs w:val="18"/>
                <w:color w:val="0000EE"/>
                <w:w w:val="99"/>
              </w:rPr>
            </w:pPr>
            <w:hyperlink w:anchor="page55">
              <w:r>
                <w:rPr>
                  <w:rFonts w:ascii="Arial" w:cs="Arial" w:eastAsia="Arial" w:hAnsi="Arial"/>
                  <w:sz w:val="18"/>
                  <w:szCs w:val="18"/>
                  <w:color w:val="0000EE"/>
                  <w:w w:val="99"/>
                </w:rPr>
                <w:t>Signatures</w:t>
              </w:r>
            </w:hyperlink>
          </w:p>
        </w:tc>
        <w:tc>
          <w:tcPr>
            <w:tcW w:w="12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0"/>
        </w:trPr>
        <w:tc>
          <w:tcPr>
            <w:tcW w:w="76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940" w:type="dxa"/>
            <w:vAlign w:val="bottom"/>
            <w:gridSpan w:val="1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000" w:type="dxa"/>
            <w:vAlign w:val="bottom"/>
            <w:tcBorders>
              <w:bottom w:val="single" w:sz="8" w:color="0000EE"/>
            </w:tcBorders>
            <w:gridSpan w:val="3"/>
          </w:tcPr>
          <w:p>
            <w:pPr>
              <w:spacing w:after="0"/>
              <w:rPr>
                <w:rFonts w:ascii="Arial" w:cs="Arial" w:eastAsia="Arial" w:hAnsi="Arial"/>
                <w:sz w:val="18"/>
                <w:szCs w:val="18"/>
                <w:color w:val="0000EE"/>
                <w:w w:val="95"/>
              </w:rPr>
            </w:pPr>
            <w:hyperlink w:anchor="page56">
              <w:r>
                <w:rPr>
                  <w:rFonts w:ascii="Arial" w:cs="Arial" w:eastAsia="Arial" w:hAnsi="Arial"/>
                  <w:sz w:val="18"/>
                  <w:szCs w:val="18"/>
                  <w:color w:val="0000EE"/>
                  <w:w w:val="95"/>
                </w:rPr>
                <w:t>Exhibit Index</w:t>
              </w:r>
            </w:hyperlink>
          </w:p>
        </w:tc>
        <w:tc>
          <w:tcPr>
            <w:tcW w:w="9940" w:type="dxa"/>
            <w:vAlign w:val="bottom"/>
            <w:gridSpan w:val="15"/>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85"/>
        </w:trPr>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60" w:type="dxa"/>
            <w:vAlign w:val="bottom"/>
            <w:gridSpan w:val="11"/>
          </w:tcPr>
          <w:p>
            <w:pPr>
              <w:ind w:left="478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240"/>
          </w:cols>
          <w:pgMar w:left="240" w:top="459"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20" w:type="dxa"/>
            <w:vAlign w:val="bottom"/>
            <w:gridSpan w:val="3"/>
          </w:tcPr>
          <w:p>
            <w:pPr>
              <w:spacing w:after="0"/>
              <w:rPr>
                <w:sz w:val="20"/>
                <w:szCs w:val="20"/>
                <w:color w:val="auto"/>
              </w:rPr>
            </w:pPr>
            <w:r>
              <w:rPr>
                <w:rFonts w:ascii="Arial" w:cs="Arial" w:eastAsia="Arial" w:hAnsi="Arial"/>
                <w:sz w:val="18"/>
                <w:szCs w:val="18"/>
                <w:b w:val="1"/>
                <w:bCs w:val="1"/>
                <w:color w:val="auto"/>
              </w:rPr>
              <w:t>PART I—FINANCIAL INFORMATION</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8"/>
        </w:trPr>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620" w:type="dxa"/>
            <w:vAlign w:val="bottom"/>
          </w:tcPr>
          <w:p>
            <w:pPr>
              <w:ind w:left="340"/>
              <w:spacing w:after="0"/>
              <w:rPr>
                <w:sz w:val="20"/>
                <w:szCs w:val="20"/>
                <w:color w:val="auto"/>
              </w:rPr>
            </w:pPr>
            <w:r>
              <w:rPr>
                <w:rFonts w:ascii="Arial" w:cs="Arial" w:eastAsia="Arial" w:hAnsi="Arial"/>
                <w:sz w:val="18"/>
                <w:szCs w:val="18"/>
                <w:b w:val="1"/>
                <w:bCs w:val="1"/>
                <w:color w:val="auto"/>
              </w:rPr>
              <w:t>CONSOLIDATED FINANCIAL STATEMENTS</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20" w:type="dxa"/>
            <w:vAlign w:val="bottom"/>
          </w:tcPr>
          <w:p>
            <w:pPr>
              <w:jc w:val="center"/>
              <w:ind w:left="1330"/>
              <w:spacing w:after="0"/>
              <w:rPr>
                <w:sz w:val="20"/>
                <w:szCs w:val="20"/>
                <w:color w:val="auto"/>
              </w:rPr>
            </w:pPr>
            <w:r>
              <w:rPr>
                <w:rFonts w:ascii="Arial" w:cs="Arial" w:eastAsia="Arial" w:hAnsi="Arial"/>
                <w:sz w:val="18"/>
                <w:szCs w:val="18"/>
                <w:b w:val="1"/>
                <w:bCs w:val="1"/>
                <w:color w:val="auto"/>
              </w:rPr>
              <w:t>ENANTA PHARMACEUTICALS, INC.</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20" w:type="dxa"/>
            <w:vAlign w:val="bottom"/>
          </w:tcPr>
          <w:p>
            <w:pPr>
              <w:jc w:val="center"/>
              <w:ind w:left="1330"/>
              <w:spacing w:after="0"/>
              <w:rPr>
                <w:sz w:val="20"/>
                <w:szCs w:val="20"/>
                <w:color w:val="auto"/>
              </w:rPr>
            </w:pPr>
            <w:r>
              <w:rPr>
                <w:rFonts w:ascii="Arial" w:cs="Arial" w:eastAsia="Arial" w:hAnsi="Arial"/>
                <w:sz w:val="18"/>
                <w:szCs w:val="18"/>
                <w:b w:val="1"/>
                <w:bCs w:val="1"/>
                <w:color w:val="auto"/>
                <w:w w:val="99"/>
              </w:rPr>
              <w:t>CONSOLIDATED BALANCE SHEETS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620" w:type="dxa"/>
            <w:vAlign w:val="bottom"/>
          </w:tcPr>
          <w:p>
            <w:pPr>
              <w:jc w:val="center"/>
              <w:ind w:left="131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20" w:type="dxa"/>
            <w:vAlign w:val="bottom"/>
          </w:tcPr>
          <w:p>
            <w:pPr>
              <w:jc w:val="center"/>
              <w:ind w:left="131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20" w:type="dxa"/>
            <w:vAlign w:val="bottom"/>
          </w:tcPr>
          <w:p>
            <w:pPr>
              <w:spacing w:after="0"/>
              <w:rPr>
                <w:sz w:val="24"/>
                <w:szCs w:val="24"/>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w w:val="99"/>
              </w:rPr>
              <w:t>March 31,</w:t>
            </w:r>
          </w:p>
        </w:tc>
        <w:tc>
          <w:tcPr>
            <w:tcW w:w="20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2015</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680" w:type="dxa"/>
            <w:vAlign w:val="bottom"/>
          </w:tcPr>
          <w:p>
            <w:pPr>
              <w:spacing w:after="0"/>
              <w:rPr>
                <w:sz w:val="7"/>
                <w:szCs w:val="7"/>
                <w:color w:val="auto"/>
              </w:rPr>
            </w:pPr>
          </w:p>
        </w:tc>
        <w:tc>
          <w:tcPr>
            <w:tcW w:w="86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25,751</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Short-term marketable securities</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139,721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60,065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7,081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Unbilled receivables</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1,550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Deferred tax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2,230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177,784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2,295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marketable securities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61,330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41,003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Deferred tax assets</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3,867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4,198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2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245,884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155,415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2,343</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2,910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14,537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62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19,790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 liability</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Series 1 nonconvertible preferred stock</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185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20" w:type="dxa"/>
            <w:vAlign w:val="bottom"/>
          </w:tcPr>
          <w:p>
            <w:pPr>
              <w:ind w:left="2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21,669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30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rPr>
              <w:t>Common stock; $0.01 par value; 100,000,000 shares authorized at March 31, 2015 and September 30, 2014;</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w w:val="92"/>
              </w:rPr>
              <w:t>18,899,211 and 18,803,390 shares issued, and 18,690,395 and 18,594,574 shares outstanding, at March 31, 2015 and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3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September 30, 2014, respectively</w:t>
            </w: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189</w:t>
            </w:r>
          </w:p>
        </w:tc>
        <w:tc>
          <w:tcPr>
            <w:tcW w:w="2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Additional paid-in capital</w:t>
            </w:r>
          </w:p>
        </w:tc>
        <w:tc>
          <w:tcPr>
            <w:tcW w:w="10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w w:val="86"/>
              </w:rPr>
              <w:t>226,295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221,580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Treasury stock, at par value; 208,816 shares at March 31, 2015 and September 30, 2014, respectively</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ind w:left="340"/>
              <w:spacing w:after="0"/>
              <w:rPr>
                <w:sz w:val="20"/>
                <w:szCs w:val="20"/>
                <w:color w:val="auto"/>
              </w:rPr>
            </w:pPr>
            <w:r>
              <w:rPr>
                <w:rFonts w:ascii="Arial" w:cs="Arial" w:eastAsia="Arial" w:hAnsi="Arial"/>
                <w:sz w:val="18"/>
                <w:szCs w:val="18"/>
                <w:color w:val="auto"/>
              </w:rPr>
              <w:t>Accumulated other comprehensive loss</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deficit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(2,250)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(73,012)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20" w:type="dxa"/>
            <w:vAlign w:val="bottom"/>
          </w:tcPr>
          <w:p>
            <w:pPr>
              <w:ind w:left="20"/>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224,215</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148,654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245,884</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155,415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interim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30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780" w:type="dxa"/>
            <w:vAlign w:val="bottom"/>
            <w:tcBorders>
              <w:bottom w:val="single" w:sz="8" w:color="CCEEFF"/>
            </w:tcBorders>
          </w:tcPr>
          <w:p>
            <w:pPr>
              <w:spacing w:after="0"/>
              <w:rPr>
                <w:sz w:val="12"/>
                <w:szCs w:val="12"/>
                <w:color w:val="auto"/>
              </w:rPr>
            </w:pPr>
          </w:p>
        </w:tc>
        <w:tc>
          <w:tcPr>
            <w:tcW w:w="5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2015</w:t>
            </w:r>
          </w:p>
        </w:tc>
        <w:tc>
          <w:tcPr>
            <w:tcW w:w="4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57,367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134,865</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Operating expenses:</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5,368</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4,722</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9,887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8,985</w:t>
            </w:r>
          </w:p>
        </w:tc>
      </w:tr>
      <w:tr>
        <w:trPr>
          <w:trHeight w:val="223"/>
        </w:trPr>
        <w:tc>
          <w:tcPr>
            <w:tcW w:w="578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5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3,438</w:t>
            </w: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2,565</w:t>
            </w: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6,207</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4,652</w:t>
            </w:r>
          </w:p>
        </w:tc>
        <w:tc>
          <w:tcPr>
            <w:tcW w:w="100" w:type="dxa"/>
            <w:vAlign w:val="bottom"/>
          </w:tcPr>
          <w:p>
            <w:pPr>
              <w:spacing w:after="0"/>
              <w:rPr>
                <w:sz w:val="19"/>
                <w:szCs w:val="19"/>
                <w:color w:val="auto"/>
              </w:rPr>
            </w:pPr>
          </w:p>
        </w:tc>
      </w:tr>
      <w:tr>
        <w:trPr>
          <w:trHeight w:val="216"/>
        </w:trPr>
        <w:tc>
          <w:tcPr>
            <w:tcW w:w="5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8,806</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7,287</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16,094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13,637</w:t>
            </w: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48,561</w:t>
            </w: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(5,127)</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118,771</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(10,584)</w:t>
            </w:r>
          </w:p>
        </w:tc>
        <w:tc>
          <w:tcPr>
            <w:tcW w:w="100" w:type="dxa"/>
            <w:vAlign w:val="bottom"/>
          </w:tcPr>
          <w:p>
            <w:pPr>
              <w:spacing w:after="0"/>
              <w:rPr>
                <w:sz w:val="19"/>
                <w:szCs w:val="19"/>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229</w:t>
            </w:r>
          </w:p>
        </w:tc>
        <w:tc>
          <w:tcPr>
            <w:tcW w:w="80" w:type="dxa"/>
            <w:vAlign w:val="bottom"/>
          </w:tcPr>
          <w:p>
            <w:pPr>
              <w:spacing w:after="0"/>
              <w:rPr>
                <w:sz w:val="18"/>
                <w:szCs w:val="18"/>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223</w:t>
            </w: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02"/>
        </w:trPr>
        <w:tc>
          <w:tcPr>
            <w:tcW w:w="5780" w:type="dxa"/>
            <w:vAlign w:val="bottom"/>
          </w:tcPr>
          <w:p>
            <w:pPr>
              <w:ind w:left="360"/>
              <w:spacing w:after="0" w:line="201" w:lineRule="exact"/>
              <w:rPr>
                <w:sz w:val="20"/>
                <w:szCs w:val="20"/>
                <w:color w:val="auto"/>
              </w:rPr>
            </w:pPr>
            <w:r>
              <w:rPr>
                <w:rFonts w:ascii="Arial" w:cs="Arial" w:eastAsia="Arial" w:hAnsi="Arial"/>
                <w:sz w:val="18"/>
                <w:szCs w:val="18"/>
                <w:color w:val="auto"/>
              </w:rPr>
              <w:t>Change in fair value of warrant liability and Series 1 nonconvertible</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780" w:type="dxa"/>
            <w:vAlign w:val="bottom"/>
          </w:tcPr>
          <w:p>
            <w:pPr>
              <w:ind w:left="540"/>
              <w:spacing w:after="0"/>
              <w:rPr>
                <w:sz w:val="20"/>
                <w:szCs w:val="20"/>
                <w:color w:val="auto"/>
              </w:rPr>
            </w:pPr>
            <w:r>
              <w:rPr>
                <w:rFonts w:ascii="Arial" w:cs="Arial" w:eastAsia="Arial" w:hAnsi="Arial"/>
                <w:sz w:val="18"/>
                <w:szCs w:val="18"/>
                <w:color w:val="auto"/>
              </w:rPr>
              <w:t>preferred stock</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42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20"/>
                <w:szCs w:val="20"/>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159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(203)</w:t>
            </w:r>
          </w:p>
        </w:tc>
      </w:tr>
      <w:tr>
        <w:trPr>
          <w:trHeight w:val="27"/>
        </w:trPr>
        <w:tc>
          <w:tcPr>
            <w:tcW w:w="57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5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 (expense), net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Net income (loss) before income taxes</w:t>
            </w:r>
          </w:p>
        </w:tc>
        <w:tc>
          <w:tcPr>
            <w:tcW w:w="5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48,771</w:t>
            </w: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(5,203)</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119,282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(10,573)</w:t>
            </w:r>
          </w:p>
        </w:tc>
        <w:tc>
          <w:tcPr>
            <w:tcW w:w="100" w:type="dxa"/>
            <w:vAlign w:val="bottom"/>
          </w:tcPr>
          <w:p>
            <w:pPr>
              <w:spacing w:after="0"/>
              <w:rPr>
                <w:sz w:val="19"/>
                <w:szCs w:val="19"/>
                <w:color w:val="auto"/>
              </w:rPr>
            </w:pPr>
          </w:p>
        </w:tc>
      </w:tr>
      <w:tr>
        <w:trPr>
          <w:trHeight w:val="216"/>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Income tax expense</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(20,018)</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(48,520)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Net income (loss)</w:t>
            </w:r>
          </w:p>
        </w:tc>
        <w:tc>
          <w:tcPr>
            <w:tcW w:w="5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28,753</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(5,203)</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70,762</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(10,573</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5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per share:</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ind w:left="720"/>
              <w:spacing w:after="0"/>
              <w:rPr>
                <w:sz w:val="20"/>
                <w:szCs w:val="20"/>
                <w:color w:val="auto"/>
              </w:rPr>
            </w:pPr>
            <w:r>
              <w:rPr>
                <w:rFonts w:ascii="Arial" w:cs="Arial" w:eastAsia="Arial" w:hAnsi="Arial"/>
                <w:sz w:val="18"/>
                <w:szCs w:val="18"/>
                <w:color w:val="auto"/>
              </w:rPr>
              <w:t>Basic</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rPr>
              <w:t>1.54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400"/>
              <w:spacing w:after="0"/>
              <w:rPr>
                <w:sz w:val="20"/>
                <w:szCs w:val="20"/>
                <w:color w:val="auto"/>
              </w:rPr>
            </w:pPr>
            <w:r>
              <w:rPr>
                <w:rFonts w:ascii="Arial" w:cs="Arial" w:eastAsia="Arial" w:hAnsi="Arial"/>
                <w:sz w:val="18"/>
                <w:szCs w:val="18"/>
                <w:color w:val="auto"/>
              </w:rPr>
              <w:t>(0.28)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3.80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(0.58)</w:t>
            </w:r>
          </w:p>
        </w:tc>
      </w:tr>
      <w:tr>
        <w:trPr>
          <w:trHeight w:val="216"/>
        </w:trPr>
        <w:tc>
          <w:tcPr>
            <w:tcW w:w="5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Diluted</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(0.58)</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Basic</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8"/>
              </w:rPr>
              <w:t>18,679,898</w:t>
            </w:r>
          </w:p>
        </w:tc>
        <w:tc>
          <w:tcPr>
            <w:tcW w:w="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88"/>
              </w:rPr>
              <w:t>18,353,628</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18,641,060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8"/>
              </w:rPr>
              <w:t>18,149,330</w:t>
            </w:r>
          </w:p>
        </w:tc>
      </w:tr>
      <w:tr>
        <w:trPr>
          <w:trHeight w:val="230"/>
        </w:trPr>
        <w:tc>
          <w:tcPr>
            <w:tcW w:w="5780" w:type="dxa"/>
            <w:vAlign w:val="bottom"/>
          </w:tcPr>
          <w:p>
            <w:pPr>
              <w:ind w:left="720"/>
              <w:spacing w:after="0"/>
              <w:rPr>
                <w:sz w:val="20"/>
                <w:szCs w:val="20"/>
                <w:color w:val="auto"/>
              </w:rPr>
            </w:pPr>
            <w:r>
              <w:rPr>
                <w:rFonts w:ascii="Arial" w:cs="Arial" w:eastAsia="Arial" w:hAnsi="Arial"/>
                <w:sz w:val="18"/>
                <w:szCs w:val="18"/>
                <w:color w:val="auto"/>
              </w:rPr>
              <w:t>Diluted</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gridSpan w:val="2"/>
          </w:tcPr>
          <w:p>
            <w:pPr>
              <w:jc w:val="right"/>
              <w:ind w:right="480"/>
              <w:spacing w:after="0"/>
              <w:rPr>
                <w:sz w:val="20"/>
                <w:szCs w:val="20"/>
                <w:color w:val="auto"/>
              </w:rPr>
            </w:pPr>
            <w:r>
              <w:rPr>
                <w:rFonts w:ascii="Arial" w:cs="Arial" w:eastAsia="Arial" w:hAnsi="Arial"/>
                <w:sz w:val="18"/>
                <w:szCs w:val="18"/>
                <w:color w:val="auto"/>
                <w:w w:val="88"/>
              </w:rPr>
              <w:t>19,268,565</w:t>
            </w:r>
          </w:p>
        </w:tc>
        <w:tc>
          <w:tcPr>
            <w:tcW w:w="80" w:type="dxa"/>
            <w:vAlign w:val="bottom"/>
          </w:tcPr>
          <w:p>
            <w:pPr>
              <w:spacing w:after="0"/>
              <w:rPr>
                <w:sz w:val="20"/>
                <w:szCs w:val="20"/>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w w:val="88"/>
              </w:rPr>
              <w:t>18,353,628</w:t>
            </w:r>
          </w:p>
        </w:tc>
        <w:tc>
          <w:tcPr>
            <w:tcW w:w="10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w w:val="88"/>
              </w:rPr>
              <w:t>19,275,969</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88"/>
              </w:rPr>
              <w:t>18,149,330</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interim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8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w w:val="93"/>
              </w:rPr>
              <w:t>Three Months Ended</w:t>
            </w:r>
          </w:p>
        </w:tc>
        <w:tc>
          <w:tcPr>
            <w:tcW w:w="15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2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March 31,</w:t>
            </w:r>
          </w:p>
        </w:tc>
        <w:tc>
          <w:tcPr>
            <w:tcW w:w="156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2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580" w:type="dxa"/>
            <w:vAlign w:val="bottom"/>
            <w:tcBorders>
              <w:top w:val="single" w:sz="8" w:color="auto"/>
            </w:tcBorders>
          </w:tcPr>
          <w:p>
            <w:pPr>
              <w:jc w:val="right"/>
              <w:ind w:right="6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gridSpan w:val="2"/>
          </w:tcPr>
          <w:p>
            <w:pPr>
              <w:jc w:val="right"/>
              <w:ind w:right="50"/>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2"/>
                <w:szCs w:val="12"/>
                <w:color w:val="auto"/>
              </w:rPr>
            </w:pPr>
          </w:p>
        </w:tc>
        <w:tc>
          <w:tcPr>
            <w:tcW w:w="5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2015</w:t>
            </w:r>
          </w:p>
        </w:tc>
        <w:tc>
          <w:tcPr>
            <w:tcW w:w="2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7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28,753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(5,203</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5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70,762</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(10,573</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23"/>
        </w:trPr>
        <w:tc>
          <w:tcPr>
            <w:tcW w:w="718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1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unrealized gains on marketable securities, net of tax of $55, $0, $58 and $0</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83</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w:t>
            </w:r>
          </w:p>
        </w:tc>
      </w:tr>
      <w:tr>
        <w:trPr>
          <w:trHeight w:val="230"/>
        </w:trPr>
        <w:tc>
          <w:tcPr>
            <w:tcW w:w="20" w:type="dxa"/>
            <w:vAlign w:val="bottom"/>
          </w:tcPr>
          <w:p>
            <w:pPr>
              <w:spacing w:after="0"/>
              <w:rPr>
                <w:sz w:val="20"/>
                <w:szCs w:val="20"/>
                <w:color w:val="auto"/>
              </w:rPr>
            </w:pPr>
          </w:p>
        </w:tc>
        <w:tc>
          <w:tcPr>
            <w:tcW w:w="7160" w:type="dxa"/>
            <w:vAlign w:val="bottom"/>
          </w:tcPr>
          <w:p>
            <w:pPr>
              <w:ind w:left="700"/>
              <w:spacing w:after="0"/>
              <w:rPr>
                <w:sz w:val="20"/>
                <w:szCs w:val="20"/>
                <w:color w:val="auto"/>
              </w:rPr>
            </w:pPr>
            <w:r>
              <w:rPr>
                <w:rFonts w:ascii="Arial" w:cs="Arial" w:eastAsia="Arial" w:hAnsi="Arial"/>
                <w:sz w:val="18"/>
                <w:szCs w:val="18"/>
                <w:color w:val="auto"/>
              </w:rPr>
              <w:t>Total other comprehensive income</w:t>
            </w:r>
          </w:p>
        </w:tc>
        <w:tc>
          <w:tcPr>
            <w:tcW w:w="1100" w:type="dxa"/>
            <w:vAlign w:val="bottom"/>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0"/>
                <w:szCs w:val="20"/>
                <w:color w:val="auto"/>
              </w:rPr>
            </w:pPr>
          </w:p>
        </w:tc>
        <w:tc>
          <w:tcPr>
            <w:tcW w:w="5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w w:val="79"/>
              </w:rPr>
              <w:t>83</w:t>
            </w:r>
          </w:p>
        </w:tc>
        <w:tc>
          <w:tcPr>
            <w:tcW w:w="220" w:type="dxa"/>
            <w:vAlign w:val="bottom"/>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1780" w:type="dxa"/>
            <w:vAlign w:val="bottom"/>
            <w:gridSpan w:val="3"/>
            <w:shd w:val="clear" w:color="auto" w:fill="CCEEFF"/>
          </w:tcPr>
          <w:p>
            <w:pPr>
              <w:jc w:val="center"/>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28,831</w:t>
            </w: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(5,174)</w:t>
            </w:r>
          </w:p>
        </w:tc>
        <w:tc>
          <w:tcPr>
            <w:tcW w:w="80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70,845</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(10,510)</w:t>
            </w:r>
          </w:p>
        </w:tc>
      </w:tr>
      <w:tr>
        <w:trPr>
          <w:trHeight w:val="20"/>
        </w:trPr>
        <w:tc>
          <w:tcPr>
            <w:tcW w:w="20" w:type="dxa"/>
            <w:vAlign w:val="bottom"/>
          </w:tcPr>
          <w:p>
            <w:pPr>
              <w:spacing w:after="0" w:line="20" w:lineRule="exact"/>
              <w:rPr>
                <w:sz w:val="1"/>
                <w:szCs w:val="1"/>
                <w:color w:val="auto"/>
              </w:rPr>
            </w:pPr>
          </w:p>
        </w:tc>
        <w:tc>
          <w:tcPr>
            <w:tcW w:w="7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interim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Six Months</w:t>
            </w:r>
          </w:p>
        </w:tc>
      </w:tr>
      <w:tr>
        <w:trPr>
          <w:trHeight w:val="171"/>
        </w:trPr>
        <w:tc>
          <w:tcPr>
            <w:tcW w:w="20" w:type="dxa"/>
            <w:vAlign w:val="bottom"/>
          </w:tcPr>
          <w:p>
            <w:pPr>
              <w:spacing w:after="0"/>
              <w:rPr>
                <w:sz w:val="14"/>
                <w:szCs w:val="14"/>
                <w:color w:val="auto"/>
              </w:rPr>
            </w:pPr>
          </w:p>
        </w:tc>
        <w:tc>
          <w:tcPr>
            <w:tcW w:w="84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Ended March 31,</w:t>
            </w:r>
          </w:p>
        </w:tc>
      </w:tr>
      <w:tr>
        <w:trPr>
          <w:trHeight w:val="142"/>
        </w:trPr>
        <w:tc>
          <w:tcPr>
            <w:tcW w:w="20" w:type="dxa"/>
            <w:vAlign w:val="bottom"/>
          </w:tcPr>
          <w:p>
            <w:pPr>
              <w:spacing w:after="0"/>
              <w:rPr>
                <w:sz w:val="12"/>
                <w:szCs w:val="12"/>
                <w:color w:val="auto"/>
              </w:rPr>
            </w:pPr>
          </w:p>
        </w:tc>
        <w:tc>
          <w:tcPr>
            <w:tcW w:w="8440" w:type="dxa"/>
            <w:vAlign w:val="bottom"/>
            <w:tcBorders>
              <w:bottom w:val="single" w:sz="8" w:color="CCEEFF"/>
            </w:tcBorders>
          </w:tcPr>
          <w:p>
            <w:pPr>
              <w:spacing w:after="0"/>
              <w:rPr>
                <w:sz w:val="12"/>
                <w:szCs w:val="12"/>
                <w:color w:val="auto"/>
              </w:rPr>
            </w:pPr>
          </w:p>
        </w:tc>
        <w:tc>
          <w:tcPr>
            <w:tcW w:w="11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8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70,762</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(10,573)</w:t>
            </w: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700"/>
              <w:spacing w:after="0"/>
              <w:rPr>
                <w:sz w:val="20"/>
                <w:szCs w:val="20"/>
                <w:color w:val="auto"/>
              </w:rPr>
            </w:pPr>
            <w:r>
              <w:rPr>
                <w:rFonts w:ascii="Arial" w:cs="Arial" w:eastAsia="Arial" w:hAnsi="Arial"/>
                <w:sz w:val="18"/>
                <w:szCs w:val="18"/>
                <w:color w:val="auto"/>
              </w:rPr>
              <w:t>Depreciation and amortization expense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270</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154</w:t>
            </w: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Non-cash interest expense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r>
      <w:tr>
        <w:trPr>
          <w:trHeight w:val="216"/>
        </w:trPr>
        <w:tc>
          <w:tcPr>
            <w:tcW w:w="20" w:type="dxa"/>
            <w:vAlign w:val="bottom"/>
          </w:tcPr>
          <w:p>
            <w:pPr>
              <w:spacing w:after="0"/>
              <w:rPr>
                <w:sz w:val="18"/>
                <w:szCs w:val="18"/>
                <w:color w:val="auto"/>
              </w:rPr>
            </w:pPr>
          </w:p>
        </w:tc>
        <w:tc>
          <w:tcPr>
            <w:tcW w:w="8440" w:type="dxa"/>
            <w:vAlign w:val="bottom"/>
          </w:tcPr>
          <w:p>
            <w:pPr>
              <w:ind w:left="700"/>
              <w:spacing w:after="0"/>
              <w:rPr>
                <w:sz w:val="20"/>
                <w:szCs w:val="20"/>
                <w:color w:val="auto"/>
              </w:rPr>
            </w:pPr>
            <w:r>
              <w:rPr>
                <w:rFonts w:ascii="Arial" w:cs="Arial" w:eastAsia="Arial" w:hAnsi="Arial"/>
                <w:sz w:val="18"/>
                <w:szCs w:val="18"/>
                <w:color w:val="auto"/>
              </w:rPr>
              <w:t>Change in fair value of warrant liability and Series 1 nonconvertible preferred stock</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(159)</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Stock-based compensation expense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1,111</w:t>
            </w:r>
          </w:p>
        </w:tc>
      </w:tr>
      <w:tr>
        <w:trPr>
          <w:trHeight w:val="216"/>
        </w:trPr>
        <w:tc>
          <w:tcPr>
            <w:tcW w:w="20" w:type="dxa"/>
            <w:vAlign w:val="bottom"/>
          </w:tcPr>
          <w:p>
            <w:pPr>
              <w:spacing w:after="0"/>
              <w:rPr>
                <w:sz w:val="18"/>
                <w:szCs w:val="18"/>
                <w:color w:val="auto"/>
              </w:rPr>
            </w:pPr>
          </w:p>
        </w:tc>
        <w:tc>
          <w:tcPr>
            <w:tcW w:w="8440" w:type="dxa"/>
            <w:vAlign w:val="bottom"/>
          </w:tcPr>
          <w:p>
            <w:pPr>
              <w:ind w:left="700"/>
              <w:spacing w:after="0"/>
              <w:rPr>
                <w:sz w:val="20"/>
                <w:szCs w:val="20"/>
                <w:color w:val="auto"/>
              </w:rPr>
            </w:pPr>
            <w:r>
              <w:rPr>
                <w:rFonts w:ascii="Arial" w:cs="Arial" w:eastAsia="Arial" w:hAnsi="Arial"/>
                <w:sz w:val="18"/>
                <w:szCs w:val="18"/>
                <w:color w:val="auto"/>
              </w:rPr>
              <w:t>Gain on sale of marketable securities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Premium on marketable securities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(473)</w:t>
            </w:r>
          </w:p>
        </w:tc>
      </w:tr>
      <w:tr>
        <w:trPr>
          <w:trHeight w:val="216"/>
        </w:trPr>
        <w:tc>
          <w:tcPr>
            <w:tcW w:w="20" w:type="dxa"/>
            <w:vAlign w:val="bottom"/>
          </w:tcPr>
          <w:p>
            <w:pPr>
              <w:spacing w:after="0"/>
              <w:rPr>
                <w:sz w:val="18"/>
                <w:szCs w:val="18"/>
                <w:color w:val="auto"/>
              </w:rPr>
            </w:pPr>
          </w:p>
        </w:tc>
        <w:tc>
          <w:tcPr>
            <w:tcW w:w="8440" w:type="dxa"/>
            <w:vAlign w:val="bottom"/>
          </w:tcPr>
          <w:p>
            <w:pPr>
              <w:ind w:left="700"/>
              <w:spacing w:after="0"/>
              <w:rPr>
                <w:sz w:val="20"/>
                <w:szCs w:val="20"/>
                <w:color w:val="auto"/>
              </w:rPr>
            </w:pPr>
            <w:r>
              <w:rPr>
                <w:rFonts w:ascii="Arial" w:cs="Arial" w:eastAsia="Arial" w:hAnsi="Arial"/>
                <w:sz w:val="18"/>
                <w:szCs w:val="18"/>
                <w:color w:val="auto"/>
              </w:rPr>
              <w:t>Amortization of premium on marketable securities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1,032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1,202</w:t>
            </w: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income taxes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11,864</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440" w:type="dxa"/>
            <w:vAlign w:val="bottom"/>
          </w:tcPr>
          <w:p>
            <w:pPr>
              <w:ind w:left="700"/>
              <w:spacing w:after="0"/>
              <w:rPr>
                <w:sz w:val="20"/>
                <w:szCs w:val="20"/>
                <w:color w:val="auto"/>
              </w:rPr>
            </w:pPr>
            <w:r>
              <w:rPr>
                <w:rFonts w:ascii="Arial" w:cs="Arial" w:eastAsia="Arial" w:hAnsi="Arial"/>
                <w:sz w:val="18"/>
                <w:szCs w:val="18"/>
                <w:color w:val="auto"/>
              </w:rPr>
              <w:t>Income tax benefit from exercise of stock options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(1,919)</w:t>
            </w:r>
          </w:p>
        </w:tc>
        <w:tc>
          <w:tcPr>
            <w:tcW w:w="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1060"/>
              <w:spacing w:after="0"/>
              <w:rPr>
                <w:sz w:val="20"/>
                <w:szCs w:val="20"/>
                <w:color w:val="auto"/>
              </w:rPr>
            </w:pPr>
            <w:r>
              <w:rPr>
                <w:rFonts w:ascii="Arial" w:cs="Arial" w:eastAsia="Arial" w:hAnsi="Arial"/>
                <w:sz w:val="18"/>
                <w:szCs w:val="18"/>
                <w:color w:val="auto"/>
              </w:rPr>
              <w:t>Accounts receivable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(5,357)</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(190)</w:t>
            </w: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Unbilled receivables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(820)</w:t>
            </w:r>
          </w:p>
        </w:tc>
      </w:tr>
      <w:tr>
        <w:trPr>
          <w:trHeight w:val="216"/>
        </w:trPr>
        <w:tc>
          <w:tcPr>
            <w:tcW w:w="20" w:type="dxa"/>
            <w:vAlign w:val="bottom"/>
          </w:tcPr>
          <w:p>
            <w:pPr>
              <w:spacing w:after="0"/>
              <w:rPr>
                <w:sz w:val="18"/>
                <w:szCs w:val="18"/>
                <w:color w:val="auto"/>
              </w:rPr>
            </w:pPr>
          </w:p>
        </w:tc>
        <w:tc>
          <w:tcPr>
            <w:tcW w:w="8440" w:type="dxa"/>
            <w:vAlign w:val="bottom"/>
          </w:tcPr>
          <w:p>
            <w:pPr>
              <w:ind w:left="1060"/>
              <w:spacing w:after="0"/>
              <w:rPr>
                <w:sz w:val="20"/>
                <w:szCs w:val="20"/>
                <w:color w:val="auto"/>
              </w:rPr>
            </w:pPr>
            <w:r>
              <w:rPr>
                <w:rFonts w:ascii="Arial" w:cs="Arial" w:eastAsia="Arial" w:hAnsi="Arial"/>
                <w:sz w:val="18"/>
                <w:szCs w:val="18"/>
                <w:color w:val="auto"/>
              </w:rPr>
              <w:t>Prepaid expenses and other current assets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(293)</w:t>
            </w: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488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w:t>
            </w:r>
          </w:p>
        </w:tc>
      </w:tr>
      <w:tr>
        <w:trPr>
          <w:trHeight w:val="216"/>
        </w:trPr>
        <w:tc>
          <w:tcPr>
            <w:tcW w:w="20" w:type="dxa"/>
            <w:vAlign w:val="bottom"/>
          </w:tcPr>
          <w:p>
            <w:pPr>
              <w:spacing w:after="0"/>
              <w:rPr>
                <w:sz w:val="18"/>
                <w:szCs w:val="18"/>
                <w:color w:val="auto"/>
              </w:rPr>
            </w:pPr>
          </w:p>
        </w:tc>
        <w:tc>
          <w:tcPr>
            <w:tcW w:w="8440" w:type="dxa"/>
            <w:vAlign w:val="bottom"/>
          </w:tcPr>
          <w:p>
            <w:pPr>
              <w:ind w:left="1060"/>
              <w:spacing w:after="0"/>
              <w:rPr>
                <w:sz w:val="20"/>
                <w:szCs w:val="20"/>
                <w:color w:val="auto"/>
              </w:rPr>
            </w:pPr>
            <w:r>
              <w:rPr>
                <w:rFonts w:ascii="Arial" w:cs="Arial" w:eastAsia="Arial" w:hAnsi="Arial"/>
                <w:sz w:val="18"/>
                <w:szCs w:val="18"/>
                <w:color w:val="auto"/>
              </w:rPr>
              <w:t>Accrued expenses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(391)</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(718)</w:t>
            </w: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Income taxes payable</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14,537</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440" w:type="dxa"/>
            <w:vAlign w:val="bottom"/>
          </w:tcPr>
          <w:p>
            <w:pPr>
              <w:ind w:left="1060"/>
              <w:spacing w:after="0"/>
              <w:rPr>
                <w:sz w:val="20"/>
                <w:szCs w:val="20"/>
                <w:color w:val="auto"/>
              </w:rPr>
            </w:pPr>
            <w:r>
              <w:rPr>
                <w:rFonts w:ascii="Arial" w:cs="Arial" w:eastAsia="Arial" w:hAnsi="Arial"/>
                <w:sz w:val="18"/>
                <w:szCs w:val="18"/>
                <w:color w:val="auto"/>
              </w:rPr>
              <w:t>Deferred revenue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Other long-term liabilities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30"/>
        </w:trPr>
        <w:tc>
          <w:tcPr>
            <w:tcW w:w="20" w:type="dxa"/>
            <w:vAlign w:val="bottom"/>
          </w:tcPr>
          <w:p>
            <w:pPr>
              <w:spacing w:after="0"/>
              <w:rPr>
                <w:sz w:val="20"/>
                <w:szCs w:val="20"/>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Net cash provided by (used in) operating activities</w:t>
            </w:r>
          </w:p>
        </w:tc>
        <w:tc>
          <w:tcPr>
            <w:tcW w:w="1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93,251</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3"/>
              </w:rPr>
              <w:t>(10,001)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Purchases of property and equipment</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(356)</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(165)</w:t>
            </w: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in restricted cash</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Purchases of marketable securities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w w:val="88"/>
              </w:rPr>
              <w:t>(135,832)</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(24,572)</w:t>
            </w: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Sales of marketable securities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2,210</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7,413</w:t>
            </w:r>
          </w:p>
        </w:tc>
      </w:tr>
      <w:tr>
        <w:trPr>
          <w:trHeight w:val="216"/>
        </w:trPr>
        <w:tc>
          <w:tcPr>
            <w:tcW w:w="20" w:type="dxa"/>
            <w:vAlign w:val="bottom"/>
          </w:tcPr>
          <w:p>
            <w:pPr>
              <w:spacing w:after="0"/>
              <w:rPr>
                <w:sz w:val="18"/>
                <w:szCs w:val="18"/>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Maturities of marketable securities</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33,692</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35,921</w:t>
            </w:r>
          </w:p>
        </w:tc>
      </w:tr>
      <w:tr>
        <w:trPr>
          <w:trHeight w:val="27"/>
        </w:trPr>
        <w:tc>
          <w:tcPr>
            <w:tcW w:w="20" w:type="dxa"/>
            <w:vAlign w:val="bottom"/>
          </w:tcPr>
          <w:p>
            <w:pPr>
              <w:spacing w:after="0"/>
              <w:rPr>
                <w:sz w:val="2"/>
                <w:szCs w:val="2"/>
                <w:color w:val="auto"/>
              </w:rPr>
            </w:pPr>
          </w:p>
        </w:tc>
        <w:tc>
          <w:tcPr>
            <w:tcW w:w="84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(used in) investing activities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(100,458)</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18,597</w:t>
            </w:r>
          </w:p>
        </w:tc>
      </w:tr>
      <w:tr>
        <w:trPr>
          <w:trHeight w:val="223"/>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exercise of stock options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w:t>
            </w:r>
          </w:p>
        </w:tc>
      </w:tr>
      <w:tr>
        <w:trPr>
          <w:trHeight w:val="223"/>
        </w:trPr>
        <w:tc>
          <w:tcPr>
            <w:tcW w:w="20" w:type="dxa"/>
            <w:vAlign w:val="bottom"/>
          </w:tcPr>
          <w:p>
            <w:pPr>
              <w:spacing w:after="0"/>
              <w:rPr>
                <w:sz w:val="19"/>
                <w:szCs w:val="19"/>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Income tax benefit from exercise of stock options</w:t>
            </w:r>
          </w:p>
        </w:tc>
        <w:tc>
          <w:tcPr>
            <w:tcW w:w="1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1,919</w:t>
            </w: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cash provided by financing activities</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w:t>
            </w:r>
          </w:p>
        </w:tc>
      </w:tr>
      <w:tr>
        <w:trPr>
          <w:trHeight w:val="223"/>
        </w:trPr>
        <w:tc>
          <w:tcPr>
            <w:tcW w:w="8460" w:type="dxa"/>
            <w:vAlign w:val="bottom"/>
            <w:gridSpan w:val="2"/>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(4,948)</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9,242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30,699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8,859</w:t>
            </w:r>
          </w:p>
        </w:tc>
      </w:tr>
      <w:tr>
        <w:trPr>
          <w:trHeight w:val="223"/>
        </w:trPr>
        <w:tc>
          <w:tcPr>
            <w:tcW w:w="8460" w:type="dxa"/>
            <w:vAlign w:val="bottom"/>
            <w:gridSpan w:val="2"/>
          </w:tcPr>
          <w:p>
            <w:pPr>
              <w:spacing w:after="0"/>
              <w:rPr>
                <w:sz w:val="20"/>
                <w:szCs w:val="20"/>
                <w:color w:val="auto"/>
              </w:rPr>
            </w:pPr>
            <w:r>
              <w:rPr>
                <w:rFonts w:ascii="Arial" w:cs="Arial" w:eastAsia="Arial" w:hAnsi="Arial"/>
                <w:sz w:val="18"/>
                <w:szCs w:val="18"/>
                <w:color w:val="auto"/>
              </w:rPr>
              <w:t>Cash and cash equivalents at end of period</w:t>
            </w:r>
          </w:p>
        </w:tc>
        <w:tc>
          <w:tcPr>
            <w:tcW w:w="1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25,751</w:t>
            </w:r>
          </w:p>
        </w:tc>
        <w:tc>
          <w:tcPr>
            <w:tcW w:w="3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18,101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84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440" w:type="dxa"/>
            <w:vAlign w:val="bottom"/>
          </w:tcPr>
          <w:p>
            <w:pPr>
              <w:ind w:left="340"/>
              <w:spacing w:after="0"/>
              <w:rPr>
                <w:sz w:val="20"/>
                <w:szCs w:val="20"/>
                <w:color w:val="auto"/>
              </w:rPr>
            </w:pPr>
            <w:r>
              <w:rPr>
                <w:rFonts w:ascii="Arial" w:cs="Arial" w:eastAsia="Arial" w:hAnsi="Arial"/>
                <w:sz w:val="18"/>
                <w:szCs w:val="18"/>
                <w:color w:val="auto"/>
              </w:rPr>
              <w:t>Cash paid for income taxes</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22,066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interim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ENANTA PHARMACEUTICALS,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23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Enanta Pharmaceuticals, Inc. (the “Company”), incorporated in Delaware in 1995, is a research and development-focused biotechnology company that uses its chemistry-driven approach and drug discovery capabilities to create small molecule drugs for the treatment of viral infections and liver diseases. The Company has programs to develop novel protease, NS5A, cyclophilin and nucleotide polymerase inhibitors targeted against the hepatitis C virus (“HCV”) and also recently announced a new focus area in non-alcoholic steatohepatitis (“NASH”). Additionally, the Company has programs to discover new chemical entities for the treatment of other diseases.</w:t>
      </w:r>
    </w:p>
    <w:p>
      <w:pPr>
        <w:spacing w:after="0" w:line="188" w:lineRule="exact"/>
        <w:rPr>
          <w:sz w:val="20"/>
          <w:szCs w:val="20"/>
          <w:color w:val="auto"/>
        </w:rPr>
      </w:pPr>
    </w:p>
    <w:p>
      <w:pPr>
        <w:ind w:right="380"/>
        <w:spacing w:after="0" w:line="255" w:lineRule="auto"/>
        <w:rPr>
          <w:sz w:val="20"/>
          <w:szCs w:val="20"/>
          <w:color w:val="auto"/>
        </w:rPr>
      </w:pPr>
      <w:r>
        <w:rPr>
          <w:rFonts w:ascii="Arial" w:cs="Arial" w:eastAsia="Arial" w:hAnsi="Arial"/>
          <w:sz w:val="18"/>
          <w:szCs w:val="18"/>
          <w:color w:val="auto"/>
        </w:rPr>
        <w:t>The Company is subject to risks common to companies in the biotechnology industry including, but not limited to, the uncertainties of research and development, competition from technological innovations of others, dependence on collaborative arrangements, protection of proprietary technology, dependence on key personnel, compliance with government regulations and the need for financial resources to fund research and development activities.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 reporting capabilities.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consolidated balance sheet at September 30, 2014 was derived from the audited financial statements, but does not include all disclosures required by accounting principles generally accepted in the United States of America (“GAAP”). The accompanying unaudited consolidated financial statements as of March 31, 2015 and for the three and six months ended March 31, 2015 and 2014 have been prepared by the Company, pursuant to the rules and regulations of the Securities and Exchange Commission (“SEC”) for interim financial statements. Certain information and note disclosures normally included in financial statements prepared in accordance with GAAP have been condensed or omitted pursuant to such rules and regulations. These financial statements should be read in conjunction with the Company’s audited financial statements and the notes thereto for the fiscal year ended September 30, 2014 included in the Company’s Annual Report on Form 10-K for that fiscal year.</w:t>
      </w:r>
    </w:p>
    <w:p>
      <w:pPr>
        <w:spacing w:after="0" w:line="178"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In the opinion of management, all adjustments, consisting only of normal recurring adjustments necessary for a fair statement of the Company’s financial position as of March 31, 2015 and results of operations for the three and six months ended March 31, 2015 and 2014 and cash flows for the six months ended March 31, 2015 and 2014 have been made. The results of operations for the three and six months ended March 31, 2015 are not necessarily indicative of the results of operations that may be expected for subsequent quarters or the year ending September 30, 2015.</w:t>
      </w:r>
    </w:p>
    <w:p>
      <w:pPr>
        <w:spacing w:after="0" w:line="171" w:lineRule="exact"/>
        <w:rPr>
          <w:sz w:val="20"/>
          <w:szCs w:val="20"/>
          <w:color w:val="auto"/>
        </w:rPr>
      </w:pPr>
    </w:p>
    <w:p>
      <w:pPr>
        <w:jc w:val="both"/>
        <w:ind w:right="660"/>
        <w:spacing w:after="0" w:line="381" w:lineRule="auto"/>
        <w:rPr>
          <w:sz w:val="20"/>
          <w:szCs w:val="20"/>
          <w:color w:val="auto"/>
        </w:rPr>
      </w:pPr>
      <w:r>
        <w:rPr>
          <w:rFonts w:ascii="Arial" w:cs="Arial" w:eastAsia="Arial" w:hAnsi="Arial"/>
          <w:sz w:val="15"/>
          <w:szCs w:val="15"/>
          <w:color w:val="auto"/>
        </w:rPr>
        <w:t>The accompanying consolidated financial statements have been prepared in conformity with GAAP. All dollar amounts in the consolidated financial statements and in the notes to the consolidated financial statements, except share and per share amounts, are in thousands unless otherwise indicated.</w:t>
      </w:r>
    </w:p>
    <w:p>
      <w:pPr>
        <w:spacing w:after="0" w:line="245" w:lineRule="exact"/>
        <w:rPr>
          <w:sz w:val="20"/>
          <w:szCs w:val="20"/>
          <w:color w:val="auto"/>
        </w:rPr>
      </w:pPr>
    </w:p>
    <w:p>
      <w:pPr>
        <w:ind w:right="7540" w:firstLine="8"/>
        <w:spacing w:after="0" w:line="378" w:lineRule="auto"/>
        <w:tabs>
          <w:tab w:leader="none" w:pos="44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ind w:right="120"/>
        <w:spacing w:after="0" w:line="273" w:lineRule="auto"/>
        <w:rPr>
          <w:sz w:val="20"/>
          <w:szCs w:val="20"/>
          <w:color w:val="auto"/>
        </w:rPr>
      </w:pPr>
      <w:r>
        <w:rPr>
          <w:rFonts w:ascii="Arial" w:cs="Arial" w:eastAsia="Arial" w:hAnsi="Arial"/>
          <w:sz w:val="17"/>
          <w:szCs w:val="17"/>
          <w:color w:val="auto"/>
        </w:rPr>
        <w:t>The preparation of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Significant estimates and assumptions reflected in these consolidated financial statements include, but are not limited to, valuation of warrants, Series 1 nonconvertible preferred stock and stock-based awards; the useful lives of property and equipment; and the accounting for income taxes, including uncertain tax positions. Estimates are periodically reviewed in light of changes in circumstances, facts and experience. Actual results could differ from the Company’s estimates.</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Company’s revenue has been generated primarily through collaborative research and license agreements. The terms of these agreements contain multiple deliverables, which may include (i) licenses, (ii) research and development activities, and (iii) participation in joint research and development steering committees. The terms of these agreements may include nonrefundable upfront license fees, payments for research and development activities, payments based upon the achievement of certain milestones, and royalty payments based on product sales derived from the collaboration. In all instances, revenue is recognized only when the price is fixed or determinable, persuasive evidence of an arrangement exists, delivery has occurred or the services have been rendered, collectibility of the resulting receivable is reasonably assured, and the Company has fulfilled its performance obligations under the contract.</w:t>
      </w:r>
    </w:p>
    <w:p>
      <w:pPr>
        <w:spacing w:after="0" w:line="16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For agreements entered into prior to October 1, 2011, the Company evaluated license agreements with multiple deliverables to determine if the deliverable elements could be recognized separately by considering (i) if the delivered elements (typically the license) had standalone value to the customer, (ii) if the fair value of any undelivered elements (typically the research and development services and the steering committee activities) could be determined based on vendor-specific objective evidence (“VSOE”) or vendor objective evidence (“VOE”), and (iii) if the arrangement included a general right of return relative to the delivered item, the delivery or performance of the undelivered item was considered probable and substantially within the control of the Company. VSOE of fair value was based on the consistent price of a deliverable when the Company regularly sold it on a standalone basis. Alternatively, VOE was based upon third-party objective evidence of fair value. If the delivered elements had value on a standalone basis and the fair value of the undelivered elements could be determined based on VSOE or VOE, revenues of such elements were then accounted for separately as delivered with arrangement consideration allocated to the delivered elements based on the residual value method. If either (i) the delivered elements were considered to not have standalone value or (ii) VSOE or VOE of fair value for any of the undelivered elements could not be determined, the arrangement was accounted for as a single unit of accounting and all payments received were recognized as revenue over the estimated period of performance of the entire arrangement.</w:t>
      </w:r>
    </w:p>
    <w:p>
      <w:pPr>
        <w:spacing w:after="0" w:line="173" w:lineRule="exact"/>
        <w:rPr>
          <w:sz w:val="20"/>
          <w:szCs w:val="20"/>
          <w:color w:val="auto"/>
        </w:rPr>
      </w:pPr>
    </w:p>
    <w:p>
      <w:pPr>
        <w:ind w:right="60"/>
        <w:spacing w:after="0" w:line="285" w:lineRule="auto"/>
        <w:rPr>
          <w:sz w:val="20"/>
          <w:szCs w:val="20"/>
          <w:color w:val="auto"/>
        </w:rPr>
      </w:pPr>
      <w:r>
        <w:rPr>
          <w:rFonts w:ascii="Arial" w:cs="Arial" w:eastAsia="Arial" w:hAnsi="Arial"/>
          <w:sz w:val="16"/>
          <w:szCs w:val="16"/>
          <w:color w:val="auto"/>
        </w:rPr>
        <w:t xml:space="preserve">On October 1, 2011, the Company adopted Accounting Standards Update (“ASU”) No. 2009-13, </w:t>
      </w:r>
      <w:r>
        <w:rPr>
          <w:rFonts w:ascii="Arial" w:cs="Arial" w:eastAsia="Arial" w:hAnsi="Arial"/>
          <w:sz w:val="16"/>
          <w:szCs w:val="16"/>
          <w:i w:val="1"/>
          <w:iCs w:val="1"/>
          <w:color w:val="auto"/>
        </w:rPr>
        <w:t>Multiple-Deliverable Revenue Arrangements</w:t>
      </w:r>
      <w:r>
        <w:rPr>
          <w:rFonts w:ascii="Arial" w:cs="Arial" w:eastAsia="Arial" w:hAnsi="Arial"/>
          <w:sz w:val="16"/>
          <w:szCs w:val="16"/>
          <w:color w:val="auto"/>
        </w:rPr>
        <w:t xml:space="preserve"> (“ASU 2009-13”). This guidance, which applies to multiple-element arrangements entered into or materially modified on or after October 1, 2011, amends the criteria for separating and allocating consideration in a multiple-element arrangement by modifying the fair value requirements for revenue recognition and eliminating the use of the residual value method. The selling prices of deliverables under the arrangement may be derived using third-party evidence (“TPE”) or a best estimate of selling price (“BESP”), if VSOE is not available. The objective of BESP is to determine the price at which the Company would transact a sale if the element within the license agreement was sold on a standalone basis. Establishing BESP involves management’s judgment and considers multiple factors, including market conditions and company-specific factors including those factors contemplated in negotiating the agreements as well as internally developed models that include assumptions related to market opportunity, discounted cash flows, estimated development costs, probability of success, and the time needed to commercialize a product candidate pursuant to the license. In validating the Company’s BESP, the Company considers whether changes in key assumptions used to determine the BESP will have a significant effect on the allocation of the arrangement consideration between the multiple deliverables. Deliverables under the arrangement are separate units of accounting if (i) the delivered item has value to the customer on a standalone basis, and (ii) if the arrangement includes a general right of return relative to the delivered item, delivery or performance of the undelivered item is considered probable and substantially within the control of the Company. The arrangement consideration that is fixed or determinable at the inception of the arrangement is allocated to the separate units of accounting based on their relative selling prices. The appropriate revenue recognition model is applied to each element, and revenue is accordingly recognized as each element is delivered. The Company may exercise significant judgment in determining whether a deliverable is a separate unit of accounting. The Company elected to adopt ASU 2009-13 prospectively as of October 1, 2011.</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determining the separate units of accounting, the Company evaluates whether the license has standalone value to the collaborator based on consideration of the relevant facts and circumstances for each arrangement. Factors considered in this determination include the research and development capabilities of the collaborator and the availability of relevant research expertise in the marketplace. In addition, the Company considers whether or not (i) the collaborator can use the license for its intended purpose without the receipt of the remaining deliverables, (ii) the value of the license is dependent on the undelivered items, and (iii) the collaborator or other vendors can provide the undelivered items.</w:t>
      </w:r>
    </w:p>
    <w:p>
      <w:pPr>
        <w:spacing w:after="0" w:line="18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a collaborative research and license agreement, a steering committee is typically responsible for overseeing the general working relationships, determining the protocols to be followed in the research and development performed, and evaluating the results from the continued development of the product in order to determine the clinical studies to be performed. The Company evaluates whether its participation in joint research and development steering committees is a substantive obligation or whether the services are considered inconsequential or perfunctory. The Company’s participation on a steering committee is considered “participatory” and therefore accounted for as a separate element when the collaborator requires the participation of the Company to ensure all elements of an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arrangement are maximized. Steering committee services that are considered participatory are combined with other research services or performance obligations required under an arrangement, if any, in determining the level of effort required in an arrangement and the period over which the Company expects to complete its aggregate performance obligations. Alternatively, the Company’s participation on a steering committee is considered “protective” and therefore not accounted for as a separate element in a case where the Company can exercise or control when to be involved at its own discretion. Factors the Company considers in determining if its participation in a joint steering committee is participating or protective include: (i) which party negotiated or requested the steering committee, (ii) how frequently the steering committee meets, (iii) whether or not there are any penalties or other recourse if the Company does not attend the steering committee meetings, (iv) which party has decision making authority on the steering committee, and (v) whether or not the collaborator has the requisite experience and expertise associated with the research and development of the licensed intellectual property.</w:t>
      </w:r>
    </w:p>
    <w:p>
      <w:pPr>
        <w:spacing w:after="0" w:line="16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For all periods presented, whenever the Company determines that an element is delivered over a period of time, revenue is recognized using either a proportional performance model or a straight-line model over the period of performance, which is typically the research and development term. Full-time equivalents (“FTEs”) are typically used as the measure of performance. At each reporting period, the Company reassesses its cumulative measure of performance and makes appropriate adjustments, if necessary. The Company recognizes revenue using the proportional performance model whenever the Company can make reasonably reliable estimates of the level of effort required to complete its performance obligations under an arrangement. Revenue recognized under the proportional performance model at each reporting period is determined by multiplying the total expected payments under the contract (excluding royalties and payments contingent upon achievement of milestones) by the ratio of the level of effort incurred to date to the estimated total level of effort required to complete the performance obligations under the arrangement. Revenue is limited to the lesser of the cumulative amount of payments received or the cumulative amount of revenue earned, as determined using the proportional performance model as of each reporting period. Alternatively, if the Company cannot make reasonably reliable estimates of the level of effort required to complete its performance obligations under an arrangement, then revenue under the arrangement is recognized on a straight-line basis over the period expected to complete the Company’s performance obligations. If and when a contingent milestone payment is earned, the additional consideration to be received is allocated to the separate units of accounting in the arrangement based on their relative selling prices at the inception of the arrangement. Revenue is limited to the lesser of the cumulative amount of payments received or the cumulative amount of revenue earned, as determined on a straight-line basis as of the period end date. If the Company cannot reasonably estimate when its performance obligation period ends, then revenue is deferred until the Company can reasonably estimate when the performance obligation period ends.</w:t>
      </w:r>
    </w:p>
    <w:p>
      <w:pPr>
        <w:spacing w:after="0" w:line="16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Royalty revenue is recognized based on contractual terms when reported sales are reliably measurable and collectibility is reasonably assured, provided that there are no performance obligations then remaining.</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During the three and six months ended March 31, 2015 and 2014, the Company also generated revenue from a government contract, under which the Company is reimbursed for certain allowable costs for the funded project. Revenue from the government contract is recognized when the related service is performed. The related costs incurred by the Company under the government contract are included in research and development expenses in the statements of operations.</w:t>
      </w:r>
    </w:p>
    <w:p>
      <w:pPr>
        <w:spacing w:after="0" w:line="18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Amounts received prior to satisfying all revenue recognition criteria are recorded as deferred revenue in the accompanying consolidated balance sheets. Amounts not expected to be recognized as revenue within the next twelve months of the consolidated balance sheet date are classified as long-term deferred revenue.</w:t>
      </w:r>
    </w:p>
    <w:p>
      <w:pPr>
        <w:spacing w:after="0" w:line="181"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In the event that a collaborative research and license agreement is terminated and the Company then has no further performance obligations, the Company recognizes as revenue any amounts that had not previously been recorded as revenue but were classified as deferred revenue at the date of such termination.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 xml:space="preserve">In May, 2014, the Financial Accounting Standards Board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The new standard will be effective for the Company on October 1, 2017; however there is a pending proposal to delay the effective period by one year. The Company is currently evaluating the potential impact that Topic 606 may have on its financial position and results of operations.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Assets and Liabilities</w:t>
      </w:r>
    </w:p>
    <w:p>
      <w:pPr>
        <w:spacing w:after="0" w:line="121"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following tables present information about the Company’s financial assets and liabilities that were subject to fair value measurement on a recurring basis as of March 31, 2015 and September 30, 2014 and indicate the fair value hierarchy of the valuation inputs utilized to determine such fair value:</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80" w:type="dxa"/>
            <w:vAlign w:val="bottom"/>
            <w:gridSpan w:val="12"/>
          </w:tcPr>
          <w:p>
            <w:pPr>
              <w:ind w:left="340"/>
              <w:spacing w:after="0"/>
              <w:rPr>
                <w:sz w:val="20"/>
                <w:szCs w:val="20"/>
                <w:color w:val="auto"/>
              </w:rPr>
            </w:pPr>
            <w:r>
              <w:rPr>
                <w:rFonts w:ascii="Arial" w:cs="Arial" w:eastAsia="Arial" w:hAnsi="Arial"/>
                <w:sz w:val="14"/>
                <w:szCs w:val="14"/>
                <w:b w:val="1"/>
                <w:bCs w:val="1"/>
                <w:color w:val="auto"/>
              </w:rPr>
              <w:t>Fair Value Measurements as of March 31, 2015 Using:</w:t>
            </w:r>
          </w:p>
        </w:tc>
      </w:tr>
      <w:tr>
        <w:trPr>
          <w:trHeight w:val="142"/>
        </w:trPr>
        <w:tc>
          <w:tcPr>
            <w:tcW w:w="6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r>
      <w:tr>
        <w:trPr>
          <w:trHeight w:val="196"/>
        </w:trPr>
        <w:tc>
          <w:tcPr>
            <w:tcW w:w="6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Money market fund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22,364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22,364</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12,484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12,484</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156,003</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156,003</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U.S. Agency bonds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32,564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32,564</w:t>
            </w:r>
          </w:p>
        </w:tc>
      </w:tr>
      <w:tr>
        <w:trPr>
          <w:trHeight w:val="223"/>
        </w:trPr>
        <w:tc>
          <w:tcPr>
            <w:tcW w:w="6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7"/>
              </w:rPr>
              <w:t>22,364</w:t>
            </w: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201,051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223,415</w:t>
            </w:r>
          </w:p>
        </w:tc>
        <w:tc>
          <w:tcPr>
            <w:tcW w:w="180" w:type="dxa"/>
            <w:vAlign w:val="bottom"/>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Warrant liability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1,442</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1,442</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Series 1 nonconvertible preferred stock</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185</w:t>
            </w:r>
          </w:p>
        </w:tc>
      </w:tr>
      <w:tr>
        <w:trPr>
          <w:trHeight w:val="223"/>
        </w:trPr>
        <w:tc>
          <w:tcPr>
            <w:tcW w:w="6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4"/>
              </w:rPr>
              <w:t>1,627</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w:t>
            </w:r>
          </w:p>
        </w:tc>
        <w:tc>
          <w:tcPr>
            <w:tcW w:w="180" w:type="dxa"/>
            <w:vAlign w:val="bottom"/>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59"/>
        </w:trPr>
        <w:tc>
          <w:tcPr>
            <w:tcW w:w="6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80" w:type="dxa"/>
            <w:vAlign w:val="bottom"/>
            <w:gridSpan w:val="12"/>
          </w:tcPr>
          <w:p>
            <w:pPr>
              <w:ind w:left="200"/>
              <w:spacing w:after="0"/>
              <w:rPr>
                <w:sz w:val="20"/>
                <w:szCs w:val="20"/>
                <w:color w:val="auto"/>
              </w:rPr>
            </w:pPr>
            <w:r>
              <w:rPr>
                <w:rFonts w:ascii="Arial" w:cs="Arial" w:eastAsia="Arial" w:hAnsi="Arial"/>
                <w:sz w:val="14"/>
                <w:szCs w:val="14"/>
                <w:b w:val="1"/>
                <w:bCs w:val="1"/>
                <w:color w:val="auto"/>
              </w:rPr>
              <w:t>Fair Value Measurements as of September 30, 2014 Using:</w:t>
            </w:r>
          </w:p>
        </w:tc>
      </w:tr>
      <w:tr>
        <w:trPr>
          <w:trHeight w:val="142"/>
        </w:trPr>
        <w:tc>
          <w:tcPr>
            <w:tcW w:w="61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rPr>
              <w:t>Level 2</w:t>
            </w: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r>
      <w:tr>
        <w:trPr>
          <w:trHeight w:val="196"/>
        </w:trPr>
        <w:tc>
          <w:tcPr>
            <w:tcW w:w="6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Money market fund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30,239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30,239</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7,499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7,499</w:t>
            </w: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Corporate bonds</w:t>
            </w:r>
          </w:p>
        </w:tc>
        <w:tc>
          <w:tcPr>
            <w:tcW w:w="100" w:type="dxa"/>
            <w:vAlign w:val="bottom"/>
          </w:tcPr>
          <w:p>
            <w:pPr>
              <w:spacing w:after="0"/>
              <w:rPr>
                <w:sz w:val="18"/>
                <w:szCs w:val="18"/>
                <w:color w:val="auto"/>
              </w:rPr>
            </w:pP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88,056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88,056</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U.S. Agency bonds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5,513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5,513</w:t>
            </w:r>
          </w:p>
        </w:tc>
      </w:tr>
      <w:tr>
        <w:trPr>
          <w:trHeight w:val="223"/>
        </w:trPr>
        <w:tc>
          <w:tcPr>
            <w:tcW w:w="6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7"/>
              </w:rPr>
              <w:t>30,239</w:t>
            </w: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101,068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131,307</w:t>
            </w:r>
          </w:p>
        </w:tc>
        <w:tc>
          <w:tcPr>
            <w:tcW w:w="180" w:type="dxa"/>
            <w:vAlign w:val="bottom"/>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10"/>
        </w:trPr>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120" w:type="dxa"/>
            <w:vAlign w:val="bottom"/>
          </w:tcPr>
          <w:p>
            <w:pPr>
              <w:spacing w:after="0"/>
              <w:rPr>
                <w:sz w:val="20"/>
                <w:szCs w:val="20"/>
                <w:color w:val="auto"/>
              </w:rPr>
            </w:pPr>
            <w:r>
              <w:rPr>
                <w:rFonts w:ascii="Arial" w:cs="Arial" w:eastAsia="Arial" w:hAnsi="Arial"/>
                <w:sz w:val="18"/>
                <w:szCs w:val="18"/>
                <w:color w:val="auto"/>
              </w:rPr>
              <w:t>Warrant liability</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60"/>
              <w:spacing w:after="0"/>
              <w:rPr>
                <w:sz w:val="20"/>
                <w:szCs w:val="20"/>
                <w:color w:val="auto"/>
              </w:rPr>
            </w:pPr>
            <w:r>
              <w:rPr>
                <w:rFonts w:ascii="Arial" w:cs="Arial" w:eastAsia="Arial" w:hAnsi="Arial"/>
                <w:sz w:val="18"/>
                <w:szCs w:val="18"/>
                <w:color w:val="auto"/>
              </w:rPr>
              <w:t>1,584</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1,584</w:t>
            </w:r>
          </w:p>
        </w:tc>
      </w:t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Series 1 nonconvertible preferred stock</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w:t>
            </w:r>
          </w:p>
        </w:tc>
      </w:tr>
      <w:tr>
        <w:trPr>
          <w:trHeight w:val="223"/>
        </w:trPr>
        <w:tc>
          <w:tcPr>
            <w:tcW w:w="6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4"/>
              </w:rPr>
              <w:t>1,786</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1,786</w:t>
            </w:r>
          </w:p>
        </w:tc>
        <w:tc>
          <w:tcPr>
            <w:tcW w:w="180" w:type="dxa"/>
            <w:vAlign w:val="bottom"/>
          </w:tcPr>
          <w:p>
            <w:pPr>
              <w:spacing w:after="0"/>
              <w:rPr>
                <w:sz w:val="19"/>
                <w:szCs w:val="19"/>
                <w:color w:val="auto"/>
              </w:rPr>
            </w:pPr>
          </w:p>
        </w:tc>
      </w:tr>
      <w:tr>
        <w:trPr>
          <w:trHeight w:val="20"/>
        </w:trPr>
        <w:tc>
          <w:tcPr>
            <w:tcW w:w="6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and six months ended March 31, 2015 and 2014, there were no transfers between Level 1, Level 2 and Level 3.</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As of March 31, 2015 and September 30, 2014, the warrant liability was comprised of the values of warrants for the purchase of Series 1 nonconvertible preferred stock measured at fair value. The outstanding Series 1 nonconvertible preferred stock was also measured at fair value. The fair value of both of these instruments was based on significant inputs not observable in the market, which represented a Level 3 measurement within the fair value hierarchy. The Company utilized a probability-weighted valuation model which takes into consideration various outcomes that may require the Company to transfer assets upon exercise. The fair value of warrants to purchase our Series 1 nonconvertible preferred stock was $1,442 and $1,584, at March 31, 2015 and September 30, 2014, respectively. The fair value of Series 1 nonconvertible preferred stock was $185 and $202 as of March 31, 2015 and September 30, 2014, respectively. Changes in the fair value of the warrant liability and Series 1 nonconvertible preferred stock are recognized in the consolidated statements of operations.</w:t>
      </w:r>
    </w:p>
    <w:p>
      <w:pPr>
        <w:spacing w:after="0" w:line="19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recurring Level 3 fair value measurements of the Company’s warrant liability and Series 1 nonconvertible preferred stock using probability-weighted discounted cash flow include the following significant unobservable inputs:</w:t>
      </w:r>
    </w:p>
    <w:p>
      <w:pPr>
        <w:sectPr>
          <w:pgSz w:w="11900" w:h="16838" w:orient="portrait"/>
          <w:cols w:equalWidth="0" w:num="1">
            <w:col w:w="11360"/>
          </w:cols>
          <w:pgMar w:left="240" w:top="459"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560" w:right="120" w:hanging="179"/>
        <w:spacing w:after="0" w:line="277" w:lineRule="auto"/>
        <w:rPr>
          <w:sz w:val="20"/>
          <w:szCs w:val="20"/>
          <w:color w:val="auto"/>
        </w:rPr>
      </w:pPr>
      <w:r>
        <w:rPr>
          <w:rFonts w:ascii="Arial" w:cs="Arial" w:eastAsia="Arial" w:hAnsi="Arial"/>
          <w:sz w:val="18"/>
          <w:szCs w:val="18"/>
          <w:color w:val="auto"/>
        </w:rPr>
        <w:t>Warrant liability and Series 1 nonconvertible preferred stock</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Range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20" w:type="dxa"/>
            <w:vAlign w:val="bottom"/>
            <w:gridSpan w:val="2"/>
            <w:vMerge w:val="restart"/>
          </w:tcPr>
          <w:p>
            <w:pPr>
              <w:ind w:left="1060"/>
              <w:spacing w:after="0"/>
              <w:rPr>
                <w:sz w:val="20"/>
                <w:szCs w:val="20"/>
                <w:color w:val="auto"/>
              </w:rPr>
            </w:pPr>
            <w:r>
              <w:rPr>
                <w:rFonts w:ascii="Arial" w:cs="Arial" w:eastAsia="Arial" w:hAnsi="Arial"/>
                <w:sz w:val="14"/>
                <w:szCs w:val="14"/>
                <w:b w:val="1"/>
                <w:bCs w:val="1"/>
                <w:color w:val="auto"/>
              </w:rPr>
              <w:t>Unobservable Input</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20" w:type="dxa"/>
            <w:vAlign w:val="bottom"/>
            <w:gridSpan w:val="2"/>
            <w:vMerge w:val="continue"/>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3"/>
              </w:rPr>
              <w:t>Average)</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3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Probabilities of payout</w:t>
            </w:r>
          </w:p>
        </w:tc>
        <w:tc>
          <w:tcPr>
            <w:tcW w:w="260" w:type="dxa"/>
            <w:vAlign w:val="bottom"/>
          </w:tcPr>
          <w:p>
            <w:pPr>
              <w:spacing w:after="0"/>
              <w:rPr>
                <w:sz w:val="16"/>
                <w:szCs w:val="16"/>
                <w:color w:val="auto"/>
              </w:rPr>
            </w:pPr>
          </w:p>
        </w:tc>
        <w:tc>
          <w:tcPr>
            <w:tcW w:w="9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10% - 55%</w:t>
            </w:r>
          </w:p>
        </w:tc>
        <w:tc>
          <w:tcPr>
            <w:tcW w:w="0" w:type="dxa"/>
            <w:vAlign w:val="bottom"/>
          </w:tcPr>
          <w:p>
            <w:pPr>
              <w:spacing w:after="0"/>
              <w:rPr>
                <w:sz w:val="1"/>
                <w:szCs w:val="1"/>
                <w:color w:val="auto"/>
              </w:rPr>
            </w:pPr>
          </w:p>
        </w:tc>
      </w:tr>
      <w:tr>
        <w:trPr>
          <w:trHeight w:val="216"/>
        </w:trPr>
        <w:tc>
          <w:tcPr>
            <w:tcW w:w="3640" w:type="dxa"/>
            <w:vAlign w:val="bottom"/>
            <w:gridSpan w:val="3"/>
          </w:tcPr>
          <w:p>
            <w:pPr>
              <w:spacing w:after="0"/>
              <w:rPr>
                <w:sz w:val="20"/>
                <w:szCs w:val="20"/>
                <w:color w:val="auto"/>
              </w:rPr>
            </w:pPr>
            <w:r>
              <w:rPr>
                <w:rFonts w:ascii="Arial" w:cs="Arial" w:eastAsia="Arial" w:hAnsi="Arial"/>
                <w:sz w:val="18"/>
                <w:szCs w:val="18"/>
                <w:color w:val="auto"/>
              </w:rPr>
              <w:t>Periods in which payout is expected to occur</w:t>
            </w:r>
          </w:p>
        </w:tc>
        <w:tc>
          <w:tcPr>
            <w:tcW w:w="980" w:type="dxa"/>
            <w:vAlign w:val="bottom"/>
          </w:tcPr>
          <w:p>
            <w:pPr>
              <w:jc w:val="center"/>
              <w:spacing w:after="0"/>
              <w:rPr>
                <w:sz w:val="20"/>
                <w:szCs w:val="20"/>
                <w:color w:val="auto"/>
              </w:rPr>
            </w:pPr>
            <w:r>
              <w:rPr>
                <w:rFonts w:ascii="Arial" w:cs="Arial" w:eastAsia="Arial" w:hAnsi="Arial"/>
                <w:sz w:val="18"/>
                <w:szCs w:val="18"/>
                <w:color w:val="auto"/>
                <w:w w:val="89"/>
              </w:rPr>
              <w:t>2016 – 2017</w:t>
            </w:r>
          </w:p>
        </w:tc>
        <w:tc>
          <w:tcPr>
            <w:tcW w:w="0" w:type="dxa"/>
            <w:vAlign w:val="bottom"/>
          </w:tcPr>
          <w:p>
            <w:pPr>
              <w:spacing w:after="0"/>
              <w:rPr>
                <w:sz w:val="1"/>
                <w:szCs w:val="1"/>
                <w:color w:val="auto"/>
              </w:rPr>
            </w:pPr>
          </w:p>
        </w:tc>
      </w:tr>
      <w:tr>
        <w:trPr>
          <w:trHeight w:val="230"/>
        </w:trPr>
        <w:tc>
          <w:tcPr>
            <w:tcW w:w="3640" w:type="dxa"/>
            <w:vAlign w:val="bottom"/>
            <w:gridSpan w:val="3"/>
          </w:tcPr>
          <w:p>
            <w:pPr>
              <w:spacing w:after="0"/>
              <w:rPr>
                <w:sz w:val="20"/>
                <w:szCs w:val="20"/>
                <w:color w:val="auto"/>
              </w:rPr>
            </w:pPr>
            <w:r>
              <w:rPr>
                <w:rFonts w:ascii="Arial" w:cs="Arial" w:eastAsia="Arial" w:hAnsi="Arial"/>
                <w:sz w:val="18"/>
                <w:szCs w:val="18"/>
                <w:color w:val="auto"/>
              </w:rPr>
              <w:t>Discount rate</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4.25%</w:t>
            </w:r>
          </w:p>
        </w:tc>
        <w:tc>
          <w:tcPr>
            <w:tcW w:w="0" w:type="dxa"/>
            <w:vAlign w:val="bottom"/>
          </w:tcPr>
          <w:p>
            <w:pPr>
              <w:spacing w:after="0"/>
              <w:rPr>
                <w:sz w:val="1"/>
                <w:szCs w:val="1"/>
                <w:color w:val="auto"/>
              </w:rPr>
            </w:pPr>
          </w:p>
        </w:tc>
      </w:tr>
      <w:tr>
        <w:trPr>
          <w:trHeight w:val="365"/>
        </w:trPr>
        <w:tc>
          <w:tcPr>
            <w:tcW w:w="3380" w:type="dxa"/>
            <w:vAlign w:val="bottom"/>
            <w:gridSpan w:val="2"/>
          </w:tcPr>
          <w:p>
            <w:pPr>
              <w:jc w:val="right"/>
              <w:ind w:right="2939"/>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4720" w:space="720"/>
            <w:col w:w="5920"/>
          </w:cols>
          <w:pgMar w:left="240" w:top="459" w:right="299" w:bottom="1440" w:gutter="0" w:footer="0" w:header="0"/>
          <w:type w:val="continuous"/>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provides a rollforward of the aggregate fair values of the Company’s warrants for the purchase of Series 1 nonconvertible preferred stock and the outstanding Series 1 nonconvertible preferred stock for which fair value is determined by Level 3 inputs:</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Series 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020" w:type="dxa"/>
            <w:vAlign w:val="bottom"/>
            <w:gridSpan w:val="3"/>
            <w:vMerge w:val="restart"/>
          </w:tcPr>
          <w:p>
            <w:pPr>
              <w:jc w:val="right"/>
              <w:ind w:right="380"/>
              <w:spacing w:after="0"/>
              <w:rPr>
                <w:sz w:val="20"/>
                <w:szCs w:val="20"/>
                <w:color w:val="auto"/>
              </w:rPr>
            </w:pPr>
            <w:r>
              <w:rPr>
                <w:rFonts w:ascii="Arial" w:cs="Arial" w:eastAsia="Arial" w:hAnsi="Arial"/>
                <w:sz w:val="14"/>
                <w:szCs w:val="14"/>
                <w:b w:val="1"/>
                <w:bCs w:val="1"/>
                <w:color w:val="auto"/>
              </w:rPr>
              <w:t>Warrant</w:t>
            </w:r>
          </w:p>
        </w:tc>
        <w:tc>
          <w:tcPr>
            <w:tcW w:w="1380" w:type="dxa"/>
            <w:vAlign w:val="bottom"/>
            <w:gridSpan w:val="4"/>
          </w:tcPr>
          <w:p>
            <w:pPr>
              <w:jc w:val="center"/>
              <w:ind w:left="139"/>
              <w:spacing w:after="0" w:line="149" w:lineRule="exact"/>
              <w:rPr>
                <w:sz w:val="20"/>
                <w:szCs w:val="20"/>
                <w:color w:val="auto"/>
              </w:rPr>
            </w:pPr>
            <w:r>
              <w:rPr>
                <w:rFonts w:ascii="Arial" w:cs="Arial" w:eastAsia="Arial" w:hAnsi="Arial"/>
                <w:sz w:val="14"/>
                <w:szCs w:val="14"/>
                <w:b w:val="1"/>
                <w:bCs w:val="1"/>
                <w:color w:val="auto"/>
                <w:w w:val="91"/>
              </w:rPr>
              <w:t>nonconvertible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302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preferred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9"/>
              </w:rPr>
              <w:t>liability</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stock</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September 30, 2014</w:t>
            </w:r>
          </w:p>
        </w:tc>
        <w:tc>
          <w:tcPr>
            <w:tcW w:w="2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$ 1,584</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40"/>
              <w:spacing w:after="0"/>
              <w:rPr>
                <w:sz w:val="20"/>
                <w:szCs w:val="20"/>
                <w:color w:val="auto"/>
              </w:rPr>
            </w:pPr>
            <w:r>
              <w:rPr>
                <w:rFonts w:ascii="Arial" w:cs="Arial" w:eastAsia="Arial" w:hAnsi="Arial"/>
                <w:sz w:val="18"/>
                <w:szCs w:val="18"/>
                <w:color w:val="auto"/>
              </w:rPr>
              <w:t>Decrease in fair value</w:t>
            </w:r>
          </w:p>
        </w:tc>
        <w:tc>
          <w:tcPr>
            <w:tcW w:w="2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(142)</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2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March 31, 2015</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$ 1,442</w:t>
            </w:r>
          </w:p>
        </w:tc>
        <w:tc>
          <w:tcPr>
            <w:tcW w:w="3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2015 and September 30, 2014, the fair value of available-for-sale marketable securities by type of security was as follows: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rPr>
              <w:t>March 31, 2015</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0"/>
              </w:rPr>
              <w:t>Amortized Cost</w:t>
            </w:r>
          </w:p>
        </w:tc>
        <w:tc>
          <w:tcPr>
            <w:tcW w:w="700" w:type="dxa"/>
            <w:vAlign w:val="bottom"/>
          </w:tcPr>
          <w:p>
            <w:pPr>
              <w:spacing w:after="0"/>
              <w:rPr>
                <w:sz w:val="10"/>
                <w:szCs w:val="10"/>
                <w:color w:val="auto"/>
              </w:rPr>
            </w:pPr>
          </w:p>
        </w:tc>
        <w:tc>
          <w:tcPr>
            <w:tcW w:w="17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14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1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12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Losses</w:t>
            </w: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12,484</w:t>
            </w: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12,484</w:t>
            </w:r>
          </w:p>
        </w:tc>
        <w:tc>
          <w:tcPr>
            <w:tcW w:w="3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155,984</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156,003</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U.S. Agency bonds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32,542</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32,564</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201,010</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7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42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201,051</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September 30, 2014</w:t>
            </w: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4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0"/>
              </w:rPr>
              <w:t>Amortized Cost</w:t>
            </w:r>
          </w:p>
        </w:tc>
        <w:tc>
          <w:tcPr>
            <w:tcW w:w="700" w:type="dxa"/>
            <w:vAlign w:val="bottom"/>
          </w:tcPr>
          <w:p>
            <w:pPr>
              <w:spacing w:after="0"/>
              <w:rPr>
                <w:sz w:val="10"/>
                <w:szCs w:val="10"/>
                <w:color w:val="auto"/>
              </w:rPr>
            </w:pPr>
          </w:p>
        </w:tc>
        <w:tc>
          <w:tcPr>
            <w:tcW w:w="17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14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Gross Unrealized</w:t>
            </w:r>
          </w:p>
        </w:tc>
        <w:tc>
          <w:tcPr>
            <w:tcW w:w="1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4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tcPr>
          <w:p>
            <w:pPr>
              <w:jc w:val="right"/>
              <w:ind w:right="1060"/>
              <w:spacing w:after="0"/>
              <w:rPr>
                <w:sz w:val="20"/>
                <w:szCs w:val="20"/>
                <w:color w:val="auto"/>
              </w:rPr>
            </w:pPr>
            <w:r>
              <w:rPr>
                <w:rFonts w:ascii="Arial" w:cs="Arial" w:eastAsia="Arial" w:hAnsi="Arial"/>
                <w:sz w:val="14"/>
                <w:szCs w:val="14"/>
                <w:b w:val="1"/>
                <w:bCs w:val="1"/>
                <w:color w:val="auto"/>
              </w:rPr>
              <w:t>Gains</w:t>
            </w:r>
          </w:p>
        </w:tc>
        <w:tc>
          <w:tcPr>
            <w:tcW w:w="220" w:type="dxa"/>
            <w:vAlign w:val="bottom"/>
          </w:tcPr>
          <w:p>
            <w:pPr>
              <w:spacing w:after="0"/>
              <w:rPr>
                <w:sz w:val="14"/>
                <w:szCs w:val="14"/>
                <w:color w:val="auto"/>
              </w:rPr>
            </w:pPr>
          </w:p>
        </w:tc>
        <w:tc>
          <w:tcPr>
            <w:tcW w:w="126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Losses</w:t>
            </w:r>
          </w:p>
        </w:tc>
        <w:tc>
          <w:tcPr>
            <w:tcW w:w="10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Commercial paper</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7,499</w:t>
            </w:r>
          </w:p>
        </w:tc>
        <w:tc>
          <w:tcPr>
            <w:tcW w:w="3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Corporate bonds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88,156</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2"/>
          </w:tcPr>
          <w:p>
            <w:pPr>
              <w:jc w:val="right"/>
              <w:ind w:right="720"/>
              <w:spacing w:after="0"/>
              <w:rPr>
                <w:sz w:val="20"/>
                <w:szCs w:val="20"/>
                <w:color w:val="auto"/>
              </w:rPr>
            </w:pPr>
            <w:r>
              <w:rPr>
                <w:rFonts w:ascii="Arial" w:cs="Arial" w:eastAsia="Arial" w:hAnsi="Arial"/>
                <w:sz w:val="18"/>
                <w:szCs w:val="18"/>
                <w:color w:val="auto"/>
              </w:rPr>
              <w:t>14</w:t>
            </w:r>
          </w:p>
        </w:tc>
        <w:tc>
          <w:tcPr>
            <w:tcW w:w="220" w:type="dxa"/>
            <w:vAlign w:val="bottom"/>
          </w:tcPr>
          <w:p>
            <w:pPr>
              <w:spacing w:after="0"/>
              <w:rPr>
                <w:sz w:val="18"/>
                <w:szCs w:val="18"/>
                <w:color w:val="auto"/>
              </w:rPr>
            </w:pPr>
          </w:p>
        </w:tc>
        <w:tc>
          <w:tcPr>
            <w:tcW w:w="1260" w:type="dxa"/>
            <w:vAlign w:val="bottom"/>
            <w:gridSpan w:val="2"/>
          </w:tcPr>
          <w:p>
            <w:pPr>
              <w:jc w:val="right"/>
              <w:ind w:right="36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88,056</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U.S. Agency bonds</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5,513</w:t>
            </w:r>
          </w:p>
        </w:tc>
        <w:tc>
          <w:tcPr>
            <w:tcW w:w="7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5,513</w:t>
            </w:r>
          </w:p>
        </w:tc>
        <w:tc>
          <w:tcPr>
            <w:tcW w:w="0" w:type="dxa"/>
            <w:vAlign w:val="bottom"/>
          </w:tcPr>
          <w:p>
            <w:pPr>
              <w:spacing w:after="0"/>
              <w:rPr>
                <w:sz w:val="1"/>
                <w:szCs w:val="1"/>
                <w:color w:val="auto"/>
              </w:rPr>
            </w:pPr>
          </w:p>
        </w:tc>
      </w:tr>
      <w:tr>
        <w:trPr>
          <w:trHeight w:val="223"/>
        </w:trPr>
        <w:tc>
          <w:tcPr>
            <w:tcW w:w="45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101,168</w:t>
            </w:r>
          </w:p>
        </w:tc>
        <w:tc>
          <w:tcPr>
            <w:tcW w:w="20" w:type="dxa"/>
            <w:vAlign w:val="bottom"/>
            <w:tcBorders>
              <w:bottom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7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w:t>
            </w:r>
          </w:p>
        </w:tc>
        <w:tc>
          <w:tcPr>
            <w:tcW w:w="42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101,068</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As of March 31, 2015, marketable securities consisted of investments that mature within one year, with the exception of certain corporate bonds, which have maturities within two years and an aggregate fair value of $61,330.</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As of September 30, 2014, marketable securities consisted of investments that mature within one year, with the exception of certain corporate bonds and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Agency bonds, which have maturities within three years and an aggregate fair value of $41,003.</w:t>
      </w:r>
    </w:p>
    <w:p>
      <w:pPr>
        <w:spacing w:after="0" w:line="35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Accrued Expenses and Other Long-Term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(current) and other long-term liabilities consisted of the following as of March 31, 2015 and September 30, 2014:</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336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1700" w:type="dxa"/>
            <w:vAlign w:val="bottom"/>
            <w:gridSpan w:val="4"/>
          </w:tcPr>
          <w:p>
            <w:pPr>
              <w:ind w:left="72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3620" w:type="dxa"/>
            <w:vAlign w:val="bottom"/>
            <w:tcBorders>
              <w:bottom w:val="single" w:sz="8" w:color="CCEEFF"/>
            </w:tcBorders>
          </w:tcPr>
          <w:p>
            <w:pPr>
              <w:spacing w:after="0"/>
              <w:rPr>
                <w:sz w:val="14"/>
                <w:szCs w:val="14"/>
                <w:color w:val="auto"/>
              </w:rPr>
            </w:pPr>
          </w:p>
        </w:tc>
        <w:tc>
          <w:tcPr>
            <w:tcW w:w="27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6"/>
              </w:rPr>
              <w:t>2015</w:t>
            </w:r>
          </w:p>
        </w:tc>
        <w:tc>
          <w:tcPr>
            <w:tcW w:w="7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Accrued expenses:</w:t>
            </w:r>
          </w:p>
        </w:tc>
        <w:tc>
          <w:tcPr>
            <w:tcW w:w="2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Accrued payroll and related expenses</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683</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Accrued preclinical and clinical expenses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Accrued vendor manufacturing expenses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563</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Accrued third-party license fees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Accrued professional fees</w:t>
            </w: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328</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Accrued other</w:t>
            </w:r>
          </w:p>
        </w:tc>
        <w:tc>
          <w:tcPr>
            <w:tcW w:w="2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2,910</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long-term liabilities:</w:t>
            </w:r>
          </w:p>
        </w:tc>
        <w:tc>
          <w:tcPr>
            <w:tcW w:w="2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Accrued rent expense</w:t>
            </w:r>
          </w:p>
        </w:tc>
        <w:tc>
          <w:tcPr>
            <w:tcW w:w="2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161</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Asset retirement obligation</w:t>
            </w:r>
          </w:p>
        </w:tc>
        <w:tc>
          <w:tcPr>
            <w:tcW w:w="27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2740" w:type="dxa"/>
            <w:vAlign w:val="bottom"/>
            <w:vMerge w:val="restart"/>
          </w:tcPr>
          <w:p>
            <w:pPr>
              <w:jc w:val="right"/>
              <w:ind w:right="1854"/>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62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8900" w:firstLine="8"/>
        <w:spacing w:after="0" w:line="425" w:lineRule="auto"/>
        <w:tabs>
          <w:tab w:leader="none" w:pos="446"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Collaboration Agreements AbbVie Collaboration</w:t>
      </w:r>
    </w:p>
    <w:p>
      <w:pPr>
        <w:spacing w:after="0" w:line="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On November 27, 2006, the Company entered into a Collaborative Development and License Agreement (the “AbbVie Agreement”) with Abbott Laboratories to identify, develop and commercialize HCV NS3 and NS3/4A protease inhibitor compounds, including paritaprevir (previously known as ABT-450). The agreement, which was amended in January and December 2009, was assigned by Abbott to AbbVie Inc. on January 1, 2013 in connection with Abbott’s transfer of its research-based pharmaceuticals business to AbbVie. The agreement was subsequently amended further in October 2014 and March 2015.</w:t>
      </w:r>
    </w:p>
    <w:p>
      <w:pPr>
        <w:spacing w:after="0" w:line="188"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color w:val="auto"/>
        </w:rPr>
        <w:t xml:space="preserve">Under the terms of the AbbVie Agreement, as amended, AbbVie paid to the Company upfront license payments and FTE reimbursements to fund research activities. The Company is also eligible to receive milestone payments for the successful development by AbbVie of one or more HCV compounds as well as annually tiered royalties per product ranging from the low double digits up to twenty percent, or on a blended basis from the low double digits up to the high teens, on net sales by AbbVie allocated to the collaboration’s protease inhibitors. Under the terms of the agreement, as amended in October 2014, 30% of net sales of a 3-DAA regimen containing paritaprevir will be allocated to paritaprevir, and 45% of net sales of a 2-DAA regimen containing paritaprevir will be allocated to paritaprevir. For ABT-493, 50% of net sales of a 2-DAA regimen containing ABT-493 will be allocated to ABT-493, and 33 </w:t>
      </w:r>
      <w:r>
        <w:rPr>
          <w:rFonts w:ascii="Arial" w:cs="Arial" w:eastAsia="Arial" w:hAnsi="Arial"/>
          <w:sz w:val="26"/>
          <w:szCs w:val="26"/>
          <w:color w:val="auto"/>
          <w:vertAlign w:val="superscript"/>
        </w:rPr>
        <w:t>1</w:t>
      </w:r>
      <w:r>
        <w:rPr>
          <w:rFonts w:ascii="Arial" w:cs="Arial" w:eastAsia="Arial" w:hAnsi="Arial"/>
          <w:sz w:val="16"/>
          <w:szCs w:val="16"/>
          <w:color w:val="auto"/>
        </w:rPr>
        <w:t>⁄</w:t>
      </w:r>
      <w:r>
        <w:rPr>
          <w:rFonts w:ascii="Arial" w:cs="Arial" w:eastAsia="Arial" w:hAnsi="Arial"/>
          <w:sz w:val="26"/>
          <w:szCs w:val="26"/>
          <w:color w:val="auto"/>
          <w:vertAlign w:val="subscript"/>
        </w:rPr>
        <w:t>3</w:t>
      </w:r>
      <w:r>
        <w:rPr>
          <w:rFonts w:ascii="Arial" w:cs="Arial" w:eastAsia="Arial" w:hAnsi="Arial"/>
          <w:sz w:val="16"/>
          <w:szCs w:val="16"/>
          <w:color w:val="auto"/>
        </w:rPr>
        <w:t>% of net sales of a 3-DAA regimen containing ABT-493 will be allocated to ABT-493. If there is any active ingredient other than DAA’s in any ABT-493-containing regimen sold by AbbVie, there will be a further adjustment to net sales based on the relative value of the non-DAA ingredient.</w:t>
      </w:r>
    </w:p>
    <w:p>
      <w:pPr>
        <w:spacing w:after="0" w:line="18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Deliverables under the AbbVie Agreement included a license, research services and participation on a steering committee. The Company concluded that all deliverables under the AbbVie Agreement should be treated as a single unit of accounting. Accordingly, revenue was recognized using the proportional performance model over the period during which the Company performed research services. The Company completed all remaining service obligations under the agreement as of June 2011. All milestone payments received after June 2011 are recognized as revenue when the respective milestone is achieved by AbbVie.</w:t>
      </w:r>
    </w:p>
    <w:p>
      <w:pPr>
        <w:spacing w:after="0" w:line="188"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Through September 30, 2014, the Company had received upfront license payments, proceeds from a sale of preferred stock, research funding payment, and milestone payments totaling $160,000 from AbbVie.</w:t>
      </w:r>
    </w:p>
    <w:p>
      <w:pPr>
        <w:spacing w:after="0" w:line="17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In December 2014, the Company earned and recognized as revenue a $75,000 milestone amount due from AbbVie as a result of U.S. regulatory approval by the FDA for AbbVie’s first treatment regimen containing a collaboration compound. In January 2015, the Company earned and recognized as revenue a $50,000 milestone payment from AbbVie upon commercialization regulatory approval of VIEKIRAX in Europe.</w:t>
      </w:r>
    </w:p>
    <w:p>
      <w:pPr>
        <w:spacing w:after="0" w:line="16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As a result, during the three and six months ended March 31, 2015, the Company recognized milestone revenue of $50,000 and $125,000, respectively. The Company’s first product, paritaprevir, was a part of AbbVie’s new treatment regimen for HCV approved by the FDA on December 19, 2014. During the three and six months ended March 31, 2015, the Company recognized royalty revenue of $6,961 and $8,353, respectively.</w:t>
      </w:r>
    </w:p>
    <w:p>
      <w:pPr>
        <w:spacing w:after="0" w:line="16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of March 31, 2015, the Company was eligible to receive additional milestone payments totaling up to $30,000 upon AbbVie’s achievement of commercialization regulatory approval of a paritaprevir-containing regimen in Japan. The Company is also eligible to receive additional milestone payments totaling up to $80,000 upon AbbVie’s achievement of similar commercialization regulatory approval milestones in the U.S. and other selected world markets for each additional protease inhibitor commercialized by AbbVie.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Novartis Collaboration</w:t>
      </w:r>
    </w:p>
    <w:p>
      <w:pPr>
        <w:spacing w:after="0" w:line="12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On February 16, 2012, the Company entered into a license and collaboration agreement with Novartis (the “Novartis Agreement”) for the development, manufacture and commercialization of its lead development candidate, EDP-239, from its NS5A HCV inhibitor program.</w:t>
      </w:r>
    </w:p>
    <w:p>
      <w:pPr>
        <w:spacing w:after="0" w:line="17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On September 30, 2014 the Company entered into an amendment to its 2012 collaboration and license agreement with Novartis to return to the Company full rights to its NS5A inhibitor program, including EDP-239, and to transition the proof-of-concept study to the Company. The Company owes no future payments to Novartis in connection with this transfer except for any unused drug product or ingredients that the Company may choose to buy from Novartis.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NIAID Contract</w:t>
      </w:r>
    </w:p>
    <w:p>
      <w:pPr>
        <w:spacing w:after="0" w:line="12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On September 30, 2011, the Company entered into a contract with the National Institute of Allergy and Infectious Diseases (“NIAID”), a division of the National Institutes of Health (“NIH”), which contract provided for up to $42,700 in potential</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development funding to the Company over a five-year period. Under this contract NIAID has funded the preclinical and clinical development of a bridged bicyclic antibiotic to be used as a medical countermeasure against multiple biodefense Category A and B bacteria.</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Funding originally paid or committed by NIAID has totaled approximately $23,500. In December 2014, the company communicated to NIAID its strategic decision not to continue commercial development of the antibiotic candidate for non-biodefense indications. In February 2015, NIAID and the Company amended the contract to decrease the total committed funding to $21,000 and its completion date to August 2015 upon the Company’s delivery of the study report for the Phase 1 clinical study.</w:t>
      </w:r>
    </w:p>
    <w:p>
      <w:pPr>
        <w:spacing w:after="0" w:line="187"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 Company recognizes revenue under this agreement as development services are performed in accordance with the funding agreement. During the three months ended March 31, 2015 and 2014, $406 and $2,160 of revenue, respectively, was recognized under this agreement. During the six months ended March 31, 2015 and 2014, the Company recognized revenue of $1,512 and $3,053, respectively.</w:t>
      </w:r>
    </w:p>
    <w:p>
      <w:pPr>
        <w:spacing w:after="0" w:line="32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Warrants to Purchase Series 1 Nonconvertible Preferred Stock and Series 1 Nonconvertible Preferred Stock</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In October and November 2010, the Company issued warrants to purchase up to a total of 1,999,989 shares of Series 1 nonconvertible preferred stock, which expire on October 4, 2017. As these warrants are free-standing financial instruments that may require the Company to transfer assets upon exercise, these warrants are classified as liabilities. The Company is required to remeasure the fair value of these preferred stock warrants at each reporting date, with any adjustments recorded within the change in fair value of warrant liability included in other income (expense) in the consolidated statement of operations. On February 5, 2014, 225,408 warrants were exercised resulting in the net issuance of 223,153 shares of Series 1 nonconvertible preferred stock. As of March 31, 2015 and September 30, 2014, the total fair value of the Series 1 nonconvertible preferred stock was $185 and $202, respectively. As of March 31, 2015 and September 30, 2014, the total fair value of the Series 1 nonconvertible preferred stock warrants was $1,442 and $1,584, respectively.</w:t>
      </w:r>
    </w:p>
    <w:p>
      <w:pPr>
        <w:spacing w:after="0" w:line="312"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Awards</w:t>
      </w:r>
    </w:p>
    <w:p>
      <w:pPr>
        <w:spacing w:after="0" w:line="11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2012 Equity Incentive Plan</w:t>
      </w:r>
    </w:p>
    <w:p>
      <w:pPr>
        <w:spacing w:after="0" w:line="121"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The Company’s 2012 Equity Incentive Plan (the “2012 Plan”) permits the Company to sell or issue common stock or restricted common stock or to grant incentive stock options or nonqualified stock options for the purchase of common stock, restricted stock units, stock appreciation rights or other cash incentive awards, to employees, members of the board of directors and consultants of the Company. The number of shares of common stock that may be issued under the 2012 Plan is subject to increase by the number of shares forfeited under any options terminated and not exercised under the 2012 Plan or the previous plan, known as the 1995 Equity Incentive Plan, as well as by a number of additional shares automatically on the first day of each fiscal year equal to the lowest amount among the following: (i) 3% of the Company’s outstanding shares of common stock as of that date, (ii) 2,088,167 shares of common stock, or (iii) a lower amount determined by the board of directors. On October 1, 2014, the number of shares of common stock that may be issued under the 2012 Plan was increased by 557,863. As of March 31, 2015, 529,176 shares remained available for future grant.</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Valuation</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fair value of each stock option grant is estimated on the date of grant using the Black-Scholes option-pricing model. To date the Company lacks sufficient company-specific historical volatility information. Therefore, it estimates its expected stock volatility based on the historical volatility of a selected group of publicly traded peer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the Company has never paid cash dividends and does not expect to pay any cash dividends in the foreseeable future. The relevant data used to determine the value of the stock option grants is as follows, presented on a weighted average basis:</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334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Three Months Ended March 31,</w:t>
            </w:r>
          </w:p>
        </w:tc>
        <w:tc>
          <w:tcPr>
            <w:tcW w:w="244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Six Months Ended March 31,</w:t>
            </w:r>
          </w:p>
        </w:tc>
      </w:tr>
      <w:tr>
        <w:trPr>
          <w:trHeight w:val="142"/>
        </w:trPr>
        <w:tc>
          <w:tcPr>
            <w:tcW w:w="472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2015</w:t>
            </w:r>
          </w:p>
        </w:tc>
        <w:tc>
          <w:tcPr>
            <w:tcW w:w="1040" w:type="dxa"/>
            <w:vAlign w:val="bottom"/>
            <w:tcBorders>
              <w:top w:val="single" w:sz="8" w:color="auto"/>
              <w:bottom w:val="single" w:sz="8" w:color="CCEEFF"/>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2014</w:t>
            </w:r>
          </w:p>
        </w:tc>
        <w:tc>
          <w:tcPr>
            <w:tcW w:w="8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2015</w:t>
            </w:r>
          </w:p>
        </w:tc>
        <w:tc>
          <w:tcPr>
            <w:tcW w:w="66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CCEEFF"/>
            </w:tcBorders>
          </w:tcPr>
          <w:p>
            <w:pPr>
              <w:spacing w:after="0"/>
              <w:rPr>
                <w:sz w:val="12"/>
                <w:szCs w:val="12"/>
                <w:color w:val="auto"/>
              </w:rPr>
            </w:pP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7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1.65%</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1.93%</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1.85%</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1.90%</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760" w:type="dxa"/>
            <w:vAlign w:val="bottom"/>
            <w:gridSpan w:val="2"/>
          </w:tcPr>
          <w:p>
            <w:pPr>
              <w:jc w:val="right"/>
              <w:ind w:right="1020"/>
              <w:spacing w:after="0"/>
              <w:rPr>
                <w:sz w:val="20"/>
                <w:szCs w:val="20"/>
                <w:color w:val="auto"/>
              </w:rPr>
            </w:pPr>
            <w:r>
              <w:rPr>
                <w:rFonts w:ascii="Arial" w:cs="Arial" w:eastAsia="Arial" w:hAnsi="Arial"/>
                <w:sz w:val="18"/>
                <w:szCs w:val="18"/>
                <w:color w:val="auto"/>
              </w:rPr>
              <w:t>5.73</w:t>
            </w:r>
          </w:p>
        </w:tc>
        <w:tc>
          <w:tcPr>
            <w:tcW w:w="1580" w:type="dxa"/>
            <w:vAlign w:val="bottom"/>
            <w:gridSpan w:val="2"/>
          </w:tcPr>
          <w:p>
            <w:pPr>
              <w:jc w:val="right"/>
              <w:ind w:right="820"/>
              <w:spacing w:after="0"/>
              <w:rPr>
                <w:sz w:val="20"/>
                <w:szCs w:val="20"/>
                <w:color w:val="auto"/>
              </w:rPr>
            </w:pPr>
            <w:r>
              <w:rPr>
                <w:rFonts w:ascii="Arial" w:cs="Arial" w:eastAsia="Arial" w:hAnsi="Arial"/>
                <w:sz w:val="18"/>
                <w:szCs w:val="18"/>
                <w:color w:val="auto"/>
              </w:rPr>
              <w:t>6.07</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6.01</w:t>
            </w: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6.09</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76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color w:val="auto"/>
              </w:rPr>
              <w:t>72%</w:t>
            </w:r>
          </w:p>
        </w:tc>
        <w:tc>
          <w:tcPr>
            <w:tcW w:w="15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77%</w:t>
            </w:r>
          </w:p>
        </w:tc>
        <w:tc>
          <w:tcPr>
            <w:tcW w:w="13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75%</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w:t>
            </w:r>
          </w:p>
        </w:tc>
      </w:tr>
      <w:tr>
        <w:trPr>
          <w:trHeight w:val="230"/>
        </w:trPr>
        <w:tc>
          <w:tcPr>
            <w:tcW w:w="47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760" w:type="dxa"/>
            <w:vAlign w:val="bottom"/>
            <w:gridSpan w:val="2"/>
          </w:tcPr>
          <w:p>
            <w:pPr>
              <w:jc w:val="right"/>
              <w:ind w:right="880"/>
              <w:spacing w:after="0"/>
              <w:rPr>
                <w:sz w:val="20"/>
                <w:szCs w:val="20"/>
                <w:color w:val="auto"/>
              </w:rPr>
            </w:pPr>
            <w:r>
              <w:rPr>
                <w:rFonts w:ascii="Arial" w:cs="Arial" w:eastAsia="Arial" w:hAnsi="Arial"/>
                <w:sz w:val="18"/>
                <w:szCs w:val="18"/>
                <w:color w:val="auto"/>
              </w:rPr>
              <w:t>0%</w:t>
            </w:r>
          </w:p>
        </w:tc>
        <w:tc>
          <w:tcPr>
            <w:tcW w:w="1580" w:type="dxa"/>
            <w:vAlign w:val="bottom"/>
            <w:gridSpan w:val="2"/>
          </w:tcPr>
          <w:p>
            <w:pPr>
              <w:jc w:val="right"/>
              <w:ind w:right="66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0%</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0%</w:t>
            </w:r>
          </w:p>
        </w:tc>
      </w:tr>
      <w:tr>
        <w:trPr>
          <w:trHeight w:val="350"/>
        </w:trPr>
        <w:tc>
          <w:tcPr>
            <w:tcW w:w="4720" w:type="dxa"/>
            <w:vAlign w:val="bottom"/>
          </w:tcPr>
          <w:p>
            <w:pPr>
              <w:spacing w:after="0"/>
              <w:rPr>
                <w:sz w:val="24"/>
                <w:szCs w:val="24"/>
                <w:color w:val="auto"/>
              </w:rPr>
            </w:pPr>
          </w:p>
        </w:tc>
        <w:tc>
          <w:tcPr>
            <w:tcW w:w="720" w:type="dxa"/>
            <w:vAlign w:val="bottom"/>
          </w:tcPr>
          <w:p>
            <w:pPr>
              <w:jc w:val="right"/>
              <w:ind w:right="15"/>
              <w:spacing w:after="0"/>
              <w:rPr>
                <w:sz w:val="20"/>
                <w:szCs w:val="20"/>
                <w:color w:val="auto"/>
              </w:rPr>
            </w:pPr>
            <w:r>
              <w:rPr>
                <w:rFonts w:ascii="Arial" w:cs="Arial" w:eastAsia="Arial" w:hAnsi="Arial"/>
                <w:sz w:val="18"/>
                <w:szCs w:val="18"/>
                <w:color w:val="auto"/>
              </w:rPr>
              <w:t>13</w:t>
            </w:r>
          </w:p>
        </w:tc>
        <w:tc>
          <w:tcPr>
            <w:tcW w:w="10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recognizes compensation expense for only the portion of awards that are expected to vest. In developing a forfeiture rate estimate, the Company has considered its historical experience to estimate pre-vesting forfeitures for service-based awards. The impact of a forfeiture rate adjustment will be recognized in full in the period of adjustment, and if the actual forfeiture rate is materially different from the Company’s estimate, the Company may be required to record adjustments to stock-based compensation expense in future periods.</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required by the 2012 Plan, the exercise price for awards granted is not to be less than the fair value of common shares as estimated by the Company as of the date of grant. For the periods prior to the March 2013 IPO, the Company valued its common stock by taking into consideration its most recently available valuation of common shares performed by management and the board of directors as well as additional factors which may have changed since the date of the most recent contemporaneous valuation through the date of grant. For the periods after the IPO, the Company based fair value of its common stock on the quoted market price.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during the six months ended March 31, 2015:</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34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89"/>
              </w:rPr>
              <w:t>Shares</w:t>
            </w: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Weighted</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80" w:type="dxa"/>
            <w:vAlign w:val="bottom"/>
          </w:tcPr>
          <w:p>
            <w:pPr>
              <w:spacing w:after="0"/>
              <w:rPr>
                <w:sz w:val="12"/>
                <w:szCs w:val="12"/>
                <w:color w:val="auto"/>
              </w:rPr>
            </w:pPr>
          </w:p>
        </w:tc>
        <w:tc>
          <w:tcPr>
            <w:tcW w:w="9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9"/>
              </w:rPr>
              <w:t>Issuable</w:t>
            </w:r>
          </w:p>
        </w:tc>
        <w:tc>
          <w:tcPr>
            <w:tcW w:w="116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0"/>
              </w:rPr>
              <w:t>Average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w:t>
            </w: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134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3"/>
              </w:rPr>
              <w:t>Under</w:t>
            </w:r>
          </w:p>
        </w:tc>
        <w:tc>
          <w:tcPr>
            <w:tcW w:w="11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Exercise</w:t>
            </w: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80" w:type="dxa"/>
            <w:vAlign w:val="bottom"/>
          </w:tcPr>
          <w:p>
            <w:pPr>
              <w:spacing w:after="0"/>
              <w:rPr>
                <w:sz w:val="12"/>
                <w:szCs w:val="12"/>
                <w:color w:val="auto"/>
              </w:rPr>
            </w:pPr>
          </w:p>
        </w:tc>
        <w:tc>
          <w:tcPr>
            <w:tcW w:w="9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120" w:type="dxa"/>
            <w:vAlign w:val="bottom"/>
          </w:tcPr>
          <w:p>
            <w:pPr>
              <w:spacing w:after="0"/>
              <w:rPr>
                <w:sz w:val="14"/>
                <w:szCs w:val="14"/>
                <w:color w:val="auto"/>
              </w:rPr>
            </w:pPr>
          </w:p>
        </w:tc>
        <w:tc>
          <w:tcPr>
            <w:tcW w:w="134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4"/>
              </w:rPr>
              <w:t>Options</w:t>
            </w:r>
          </w:p>
        </w:tc>
        <w:tc>
          <w:tcPr>
            <w:tcW w:w="120" w:type="dxa"/>
            <w:vAlign w:val="bottom"/>
          </w:tcPr>
          <w:p>
            <w:pPr>
              <w:spacing w:after="0"/>
              <w:rPr>
                <w:sz w:val="14"/>
                <w:szCs w:val="14"/>
                <w:color w:val="auto"/>
              </w:rPr>
            </w:pPr>
          </w:p>
        </w:tc>
        <w:tc>
          <w:tcPr>
            <w:tcW w:w="104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Price</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Term</w:t>
            </w:r>
          </w:p>
        </w:tc>
        <w:tc>
          <w:tcPr>
            <w:tcW w:w="18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2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years)</w:t>
            </w:r>
          </w:p>
        </w:tc>
        <w:tc>
          <w:tcPr>
            <w:tcW w:w="18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September 30, 2014</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1,389,437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15.39</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7.2</w:t>
            </w:r>
          </w:p>
        </w:tc>
        <w:tc>
          <w:tcPr>
            <w:tcW w:w="11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1"/>
              </w:rPr>
              <w:t>$ 33,573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Granted</w:t>
            </w:r>
          </w:p>
        </w:tc>
        <w:tc>
          <w:tcPr>
            <w:tcW w:w="1340" w:type="dxa"/>
            <w:vAlign w:val="bottom"/>
            <w:gridSpan w:val="2"/>
          </w:tcPr>
          <w:p>
            <w:pPr>
              <w:jc w:val="right"/>
              <w:ind w:right="560"/>
              <w:spacing w:after="0"/>
              <w:rPr>
                <w:sz w:val="20"/>
                <w:szCs w:val="20"/>
                <w:color w:val="auto"/>
              </w:rPr>
            </w:pPr>
            <w:r>
              <w:rPr>
                <w:rFonts w:ascii="Arial" w:cs="Arial" w:eastAsia="Arial" w:hAnsi="Arial"/>
                <w:sz w:val="18"/>
                <w:szCs w:val="18"/>
                <w:color w:val="auto"/>
              </w:rPr>
              <w:t>408,455</w:t>
            </w:r>
          </w:p>
        </w:tc>
        <w:tc>
          <w:tcPr>
            <w:tcW w:w="12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42.24</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(95,821)</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3.54</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340"/>
              <w:spacing w:after="0"/>
              <w:rPr>
                <w:sz w:val="20"/>
                <w:szCs w:val="20"/>
                <w:color w:val="auto"/>
              </w:rPr>
            </w:pPr>
            <w:r>
              <w:rPr>
                <w:rFonts w:ascii="Arial" w:cs="Arial" w:eastAsia="Arial" w:hAnsi="Arial"/>
                <w:sz w:val="18"/>
                <w:szCs w:val="18"/>
                <w:color w:val="auto"/>
              </w:rPr>
              <w:t>Expired</w:t>
            </w: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(8,625)</w:t>
            </w:r>
          </w:p>
        </w:tc>
        <w:tc>
          <w:tcPr>
            <w:tcW w:w="12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8"/>
                <w:szCs w:val="18"/>
                <w:color w:val="auto"/>
              </w:rPr>
              <w:t>20.73</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as of March 31, 2015</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4"/>
              </w:rPr>
              <w:t>1,693,446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22.51</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7.5</w:t>
            </w:r>
          </w:p>
        </w:tc>
        <w:tc>
          <w:tcPr>
            <w:tcW w:w="11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1"/>
              </w:rPr>
              <w:t>$ 19,109</w:t>
            </w:r>
          </w:p>
        </w:tc>
        <w:tc>
          <w:tcPr>
            <w:tcW w:w="0" w:type="dxa"/>
            <w:vAlign w:val="bottom"/>
          </w:tcPr>
          <w:p>
            <w:pPr>
              <w:spacing w:after="0"/>
              <w:rPr>
                <w:sz w:val="1"/>
                <w:szCs w:val="1"/>
                <w:color w:val="auto"/>
              </w:rPr>
            </w:pPr>
          </w:p>
        </w:tc>
      </w:tr>
      <w:tr>
        <w:trPr>
          <w:trHeight w:val="20"/>
        </w:trPr>
        <w:tc>
          <w:tcPr>
            <w:tcW w:w="6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Options vested and expected to vest as of March 31, 2015</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vMerge w:val="restart"/>
          </w:tcPr>
          <w:p>
            <w:pPr>
              <w:jc w:val="right"/>
              <w:ind w:right="560"/>
              <w:spacing w:after="0"/>
              <w:rPr>
                <w:sz w:val="20"/>
                <w:szCs w:val="20"/>
                <w:color w:val="auto"/>
              </w:rPr>
            </w:pPr>
            <w:r>
              <w:rPr>
                <w:rFonts w:ascii="Arial" w:cs="Arial" w:eastAsia="Arial" w:hAnsi="Arial"/>
                <w:sz w:val="18"/>
                <w:szCs w:val="18"/>
                <w:color w:val="auto"/>
              </w:rPr>
              <w:t>23.26</w:t>
            </w:r>
          </w:p>
        </w:tc>
        <w:tc>
          <w:tcPr>
            <w:tcW w:w="760" w:type="dxa"/>
            <w:vAlign w:val="bottom"/>
            <w:vMerge w:val="restart"/>
          </w:tcPr>
          <w:p>
            <w:pPr>
              <w:jc w:val="center"/>
              <w:spacing w:after="0"/>
              <w:rPr>
                <w:sz w:val="20"/>
                <w:szCs w:val="20"/>
                <w:color w:val="auto"/>
              </w:rPr>
            </w:pPr>
            <w:r>
              <w:rPr>
                <w:rFonts w:ascii="Arial" w:cs="Arial" w:eastAsia="Arial" w:hAnsi="Arial"/>
                <w:sz w:val="18"/>
                <w:szCs w:val="18"/>
                <w:color w:val="auto"/>
                <w:w w:val="87"/>
              </w:rPr>
              <w:t>7.5</w:t>
            </w:r>
          </w:p>
        </w:tc>
        <w:tc>
          <w:tcPr>
            <w:tcW w:w="1100" w:type="dxa"/>
            <w:vAlign w:val="bottom"/>
            <w:gridSpan w:val="3"/>
            <w:vMerge w:val="restart"/>
          </w:tcPr>
          <w:p>
            <w:pPr>
              <w:jc w:val="center"/>
              <w:ind w:right="100"/>
              <w:spacing w:after="0"/>
              <w:rPr>
                <w:sz w:val="20"/>
                <w:szCs w:val="20"/>
                <w:color w:val="auto"/>
              </w:rPr>
            </w:pPr>
            <w:r>
              <w:rPr>
                <w:rFonts w:ascii="Arial" w:cs="Arial" w:eastAsia="Arial" w:hAnsi="Arial"/>
                <w:sz w:val="18"/>
                <w:szCs w:val="18"/>
                <w:color w:val="auto"/>
                <w:w w:val="91"/>
              </w:rPr>
              <w:t>$ 11,787</w:t>
            </w:r>
          </w:p>
        </w:tc>
        <w:tc>
          <w:tcPr>
            <w:tcW w:w="0" w:type="dxa"/>
            <w:vAlign w:val="bottom"/>
          </w:tcPr>
          <w:p>
            <w:pPr>
              <w:spacing w:after="0" w:line="20" w:lineRule="exact"/>
              <w:rPr>
                <w:sz w:val="1"/>
                <w:szCs w:val="1"/>
                <w:color w:val="auto"/>
              </w:rPr>
            </w:pPr>
          </w:p>
        </w:tc>
      </w:tr>
      <w:tr>
        <w:trPr>
          <w:trHeight w:val="210"/>
        </w:trPr>
        <w:tc>
          <w:tcPr>
            <w:tcW w:w="6140" w:type="dxa"/>
            <w:vAlign w:val="bottom"/>
            <w:gridSpan w:val="2"/>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1,507,790</w:t>
            </w:r>
          </w:p>
        </w:tc>
        <w:tc>
          <w:tcPr>
            <w:tcW w:w="56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760" w:type="dxa"/>
            <w:vAlign w:val="bottom"/>
            <w:vMerge w:val="continue"/>
          </w:tcPr>
          <w:p>
            <w:pPr>
              <w:spacing w:after="0"/>
              <w:rPr>
                <w:sz w:val="18"/>
                <w:szCs w:val="18"/>
                <w:color w:val="auto"/>
              </w:rPr>
            </w:pPr>
          </w:p>
        </w:tc>
        <w:tc>
          <w:tcPr>
            <w:tcW w:w="110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exercisable as of March 31, 2015</w:t>
            </w:r>
          </w:p>
        </w:tc>
        <w:tc>
          <w:tcPr>
            <w:tcW w:w="13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729,603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11.04</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5.6</w:t>
            </w:r>
          </w:p>
        </w:tc>
        <w:tc>
          <w:tcPr>
            <w:tcW w:w="110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color w:val="auto"/>
                <w:w w:val="91"/>
              </w:rPr>
              <w:t>$ 14,658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In March 2013, the Company granted certain executives a total of 167,052 options that vest upon the achievement of certain performance-based targets. The grant date fair value of these options was $2,479. During the three and six months ended March 31, 2015, the Company recorded no compensation expense related to these options as none of the remaining performance-based targets became probable of being achieved during these periods. During the three months ended March 31, 2014, one performance-based target was achieved and the Company recorded compensation expense of $206 related to that target.</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and Performance-based Stock Awards</w:t>
      </w:r>
    </w:p>
    <w:p>
      <w:pPr>
        <w:spacing w:after="0" w:line="121" w:lineRule="exact"/>
        <w:rPr>
          <w:sz w:val="20"/>
          <w:szCs w:val="20"/>
          <w:color w:val="auto"/>
        </w:rPr>
      </w:pPr>
    </w:p>
    <w:p>
      <w:pPr>
        <w:jc w:val="both"/>
        <w:ind w:right="180"/>
        <w:spacing w:after="0" w:line="286" w:lineRule="auto"/>
        <w:rPr>
          <w:sz w:val="20"/>
          <w:szCs w:val="20"/>
          <w:color w:val="auto"/>
        </w:rPr>
      </w:pPr>
      <w:r>
        <w:rPr>
          <w:rFonts w:ascii="Arial" w:cs="Arial" w:eastAsia="Arial" w:hAnsi="Arial"/>
          <w:sz w:val="17"/>
          <w:szCs w:val="17"/>
          <w:color w:val="auto"/>
        </w:rPr>
        <w:t>In February 2015, the Company awarded certain executive officers a total of 41,800 share units consisting of 20,900 performance share units, or PSUs, and 20,900 relative total shareholder return units, or rTSRUs. The number of units represents the target number of shares of common stock that may be earned; however, the actual number of shares that may be earned ranges from 0% to 200% of the target number.</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PSUs will vest and result in issuance, or settlement, of common shares, based upon continued employment and achievement of specified research and development milestones on or before December 16, 2016. The aggregate grant date fair value of the 20,900 PSUs ranges between $0 and $1,501. During the three months ended March 31, 2015, the Company recorded no compensation expense related to the PSU awards as none of the performance-based targets was probable of being achieved during this period.</w:t>
      </w:r>
    </w:p>
    <w:p>
      <w:pPr>
        <w:spacing w:after="0" w:line="18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rTSRUs will vest and result in the issuance of common stock based on continuing employment and the relative ranking of the total shareholder return, or TSR, of the Company’s common stock in relation to the TSR of the component companies in the NASDAQ Biotech Index over a two-year period based on a comparison of average closing stock prices in December 2014 and December 2016. The number of market-based rTSRUs awarded represents the target number of shares of common stock that may be earned; however, the actual number of shares that may be earned ranges from 0% to 200% of the target number.</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 used a Monte Carlo simulation model to estimate that the grant-date fair value of the rTSRUs was $554. The table below sets forth the assumptions used to value the awards and the estimated grant-date fair value:</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0.61%</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Dividend yield</w:t>
            </w:r>
          </w:p>
        </w:tc>
        <w:tc>
          <w:tcPr>
            <w:tcW w:w="24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55.66%</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Remaining performance period (years)</w:t>
            </w:r>
          </w:p>
        </w:tc>
        <w:tc>
          <w:tcPr>
            <w:tcW w:w="2440" w:type="dxa"/>
            <w:vAlign w:val="bottom"/>
          </w:tcPr>
          <w:p>
            <w:pPr>
              <w:jc w:val="right"/>
              <w:ind w:right="90"/>
              <w:spacing w:after="0"/>
              <w:rPr>
                <w:sz w:val="20"/>
                <w:szCs w:val="20"/>
                <w:color w:val="auto"/>
              </w:rPr>
            </w:pPr>
            <w:r>
              <w:rPr>
                <w:rFonts w:ascii="Arial" w:cs="Arial" w:eastAsia="Arial" w:hAnsi="Arial"/>
                <w:sz w:val="18"/>
                <w:szCs w:val="18"/>
                <w:color w:val="auto"/>
              </w:rPr>
              <w:t>1.86</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Estimated fair value per share of rTSRUs granted</w:t>
            </w:r>
          </w:p>
        </w:tc>
        <w:tc>
          <w:tcPr>
            <w:tcW w:w="24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$26.51</w:t>
            </w: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The fair value related to the rTSRUs will be recorded as compensation expense over the period from date of grant to December 2016 regardless of whether the target relative total shareholder returns are reached.</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stock-based compensation expense for the three and six months ended March 31, 2015 and 2014 in the following expense categories:</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2"/>
              </w:rPr>
              <w:t>Three Months Ended</w:t>
            </w:r>
          </w:p>
        </w:tc>
        <w:tc>
          <w:tcPr>
            <w:tcW w:w="200" w:type="dxa"/>
            <w:vAlign w:val="bottom"/>
          </w:tcPr>
          <w:p>
            <w:pPr>
              <w:spacing w:after="0"/>
              <w:rPr>
                <w:sz w:val="14"/>
                <w:szCs w:val="14"/>
                <w:color w:val="auto"/>
              </w:rPr>
            </w:pPr>
          </w:p>
        </w:tc>
        <w:tc>
          <w:tcPr>
            <w:tcW w:w="1380" w:type="dxa"/>
            <w:vAlign w:val="bottom"/>
            <w:gridSpan w:val="7"/>
          </w:tcPr>
          <w:p>
            <w:pPr>
              <w:ind w:left="2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6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6"/>
          </w:tcPr>
          <w:p>
            <w:pPr>
              <w:ind w:left="18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4600" w:type="dxa"/>
            <w:vAlign w:val="bottom"/>
            <w:tcBorders>
              <w:bottom w:val="single" w:sz="8" w:color="CCEEFF"/>
            </w:tcBorders>
          </w:tcPr>
          <w:p>
            <w:pPr>
              <w:spacing w:after="0"/>
              <w:rPr>
                <w:sz w:val="12"/>
                <w:szCs w:val="12"/>
                <w:color w:val="auto"/>
              </w:rPr>
            </w:pPr>
          </w:p>
        </w:tc>
        <w:tc>
          <w:tcPr>
            <w:tcW w:w="26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2015</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3"/>
              </w:rPr>
              <w:t>2014</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7"/>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2014</w:t>
            </w:r>
          </w:p>
        </w:tc>
        <w:tc>
          <w:tcPr>
            <w:tcW w:w="200" w:type="dxa"/>
            <w:vAlign w:val="bottom"/>
            <w:tcBorders>
              <w:bottom w:val="single" w:sz="8" w:color="CCEEFF"/>
            </w:tcBorders>
          </w:tcPr>
          <w:p>
            <w:pPr>
              <w:spacing w:after="0"/>
              <w:rPr>
                <w:sz w:val="12"/>
                <w:szCs w:val="12"/>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1,034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524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w w:val="84"/>
              </w:rPr>
              <w:t>1,820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745</w:t>
            </w:r>
          </w:p>
        </w:tc>
      </w:tr>
      <w:tr>
        <w:trPr>
          <w:trHeight w:val="27"/>
        </w:trPr>
        <w:tc>
          <w:tcPr>
            <w:tcW w:w="460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216"/>
        </w:trPr>
        <w:tc>
          <w:tcPr>
            <w:tcW w:w="4600" w:type="dxa"/>
            <w:vAlign w:val="bottom"/>
            <w:shd w:val="clear" w:color="auto" w:fill="CCEEFF"/>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4"/>
              </w:rPr>
              <w:t>2,457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1,111</w:t>
            </w:r>
          </w:p>
        </w:tc>
      </w:tr>
      <w:tr>
        <w:trPr>
          <w:trHeight w:val="20"/>
        </w:trPr>
        <w:tc>
          <w:tcPr>
            <w:tcW w:w="460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March 31, 2015, the Company had an aggregate of $18,488 of unrecognized stock-based compensation cost, which is expected to be recognized over a weighted average period of 3.1 years.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Under the Employee Stock Purchase Plan (the “ESPP”), a total of 185,614 shares of common stock were reserved for issuance. As of March 31, 2015, the Company has not commenced any offering under the ESPP and no shares have been issued.</w:t>
      </w:r>
    </w:p>
    <w:p>
      <w:pPr>
        <w:spacing w:after="0" w:line="315"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Basic and diluted net income (loss) per share attributable to common stockholders was calculated as follows for the three and six months ended March 31, 2015 and 2014:</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0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22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4"/>
          </w:tcPr>
          <w:p>
            <w:pPr>
              <w:jc w:val="right"/>
              <w:spacing w:after="0"/>
              <w:rPr>
                <w:sz w:val="20"/>
                <w:szCs w:val="20"/>
                <w:color w:val="auto"/>
              </w:rPr>
            </w:pPr>
            <w:r>
              <w:rPr>
                <w:rFonts w:ascii="Arial" w:cs="Arial" w:eastAsia="Arial" w:hAnsi="Arial"/>
                <w:sz w:val="14"/>
                <w:szCs w:val="14"/>
                <w:b w:val="1"/>
                <w:bCs w:val="1"/>
                <w:color w:val="auto"/>
              </w:rPr>
              <w:t>March 31,</w:t>
            </w: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2014</w:t>
            </w:r>
          </w:p>
        </w:tc>
        <w:tc>
          <w:tcPr>
            <w:tcW w:w="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Basic net income (loss) per share:</w:t>
            </w: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Numerator:</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income (loss)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28,753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Denominator:</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6"/>
              </w:rPr>
              <w:t>Weighted average common shares outstanding—basic</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18,679,898</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18,353,628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18,641,060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18,149,330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vMerge w:val="restart"/>
          </w:tcPr>
          <w:p>
            <w:pPr>
              <w:ind w:left="340"/>
              <w:spacing w:after="0"/>
              <w:rPr>
                <w:sz w:val="20"/>
                <w:szCs w:val="20"/>
                <w:color w:val="auto"/>
              </w:rPr>
            </w:pPr>
            <w:r>
              <w:rPr>
                <w:rFonts w:ascii="Arial" w:cs="Arial" w:eastAsia="Arial" w:hAnsi="Arial"/>
                <w:sz w:val="18"/>
                <w:szCs w:val="18"/>
                <w:color w:val="auto"/>
              </w:rPr>
              <w:t>Net income (loss) per share—basic</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9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(0.28)</w:t>
            </w:r>
          </w:p>
        </w:tc>
        <w:tc>
          <w:tcPr>
            <w:tcW w:w="5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(0.58)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49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(loss) per share:</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Numerator:</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income (loss)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28,753</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(5,203)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70,762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340"/>
              <w:spacing w:after="0"/>
              <w:rPr>
                <w:sz w:val="20"/>
                <w:szCs w:val="20"/>
                <w:color w:val="auto"/>
              </w:rPr>
            </w:pPr>
            <w:r>
              <w:rPr>
                <w:rFonts w:ascii="Arial" w:cs="Arial" w:eastAsia="Arial" w:hAnsi="Arial"/>
                <w:sz w:val="18"/>
                <w:szCs w:val="18"/>
                <w:color w:val="auto"/>
              </w:rPr>
              <w:t>Denominator:</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6"/>
              </w:rPr>
              <w:t>Weighted average common shares outstanding—basic</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8"/>
              </w:rPr>
              <w:t>18,679,898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18,353,628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18,641,060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18,149,330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ind w:left="700"/>
              <w:spacing w:after="0"/>
              <w:rPr>
                <w:sz w:val="20"/>
                <w:szCs w:val="20"/>
                <w:color w:val="auto"/>
              </w:rPr>
            </w:pPr>
            <w:r>
              <w:rPr>
                <w:rFonts w:ascii="Arial" w:cs="Arial" w:eastAsia="Arial" w:hAnsi="Arial"/>
                <w:sz w:val="18"/>
                <w:szCs w:val="18"/>
                <w:color w:val="auto"/>
              </w:rPr>
              <w:t>Dilutive effect of common stock equivalents</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588,667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634,909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4"/>
              </w:rPr>
              <w:t>Weighted average common shares outstanding—diluted</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19,268,565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6"/>
              </w:rPr>
              <w:t>18,353,628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19,275,969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18,149,330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vMerge w:val="restart"/>
          </w:tcPr>
          <w:p>
            <w:pPr>
              <w:ind w:left="340"/>
              <w:spacing w:after="0"/>
              <w:rPr>
                <w:sz w:val="20"/>
                <w:szCs w:val="20"/>
                <w:color w:val="auto"/>
              </w:rPr>
            </w:pPr>
            <w:r>
              <w:rPr>
                <w:rFonts w:ascii="Arial" w:cs="Arial" w:eastAsia="Arial" w:hAnsi="Arial"/>
                <w:sz w:val="18"/>
                <w:szCs w:val="18"/>
                <w:color w:val="auto"/>
              </w:rPr>
              <w:t>Net income (loss) per share—diluted</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5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4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59" w:right="31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 options for the purchase of 696,445 and 1,505,947 weighted average shares were excluded from the computation of diluted net income per share for the three months ended March 31, 2015 and March 31, 2014, respectively, because those options had an anti-dilutive impact due to either the net loss attributable to common stockholders incurred for the period or to the assumed proceeds per share using the treasury stock method being greater than the average fair value of the Company’s common shares for those periods.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Stock options for the purchase of 489,123 and 1,583,885 weighted average shares were excluded from the computation of diluted net income per share for the six months ended March 31, 2015 and March 31, 2014, respectively, because those options had an anti-dilutive impact due to either the net loss attributable to common stockholders incurred for the period or to the assumed proceeds per share using the treasury stock method being greater than the average fair value of the Company’s common shares for those periods.</w:t>
      </w:r>
    </w:p>
    <w:p>
      <w:pPr>
        <w:spacing w:after="0" w:line="33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For the three months ended March 31, 2015 and March 31, 2014, the Company recorded an income tax provisions of $20,018 and $0, respectively, representing effective tax rates of 41.0% and 0.0%, respectively. The income tax provision for the three months ended March 31, 2015 was attributable to the federal and state taxes provided on the earnings of the Company’s operations, all of which are domestic. During the three months ended March 31, 2015, the gross deferred tax assets decreased by $434 primarily as a result of the utilization of net operating losses due to income before income taxes generated during the period. No provision for income tax was recorded for the three months ended March 31, 2014, as the Company maintained a valuation allowance against its deferred tax assets. The valuation allowance was released during the three months ended June 30, 2014.</w:t>
      </w:r>
    </w:p>
    <w:p>
      <w:pPr>
        <w:spacing w:after="0" w:line="178"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For the six months ended March 31, 2015 and March 31, 2014, the Company recorded an income tax provision of $48,520 and $0, respectively. During the six months ended March 31, 2015, the gross deferred tax assets decreased by $10,002 primarily as a result of the utilization of net operating losses due to income before income taxes generated during the period. No provision for income tax was recorded for the six months ended March 31, 2014, as the Company maintained a valuation allowance against its deferred tax assets.</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2007 to the present. Earlier years may be examined to the extent that tax credit or net operating loss carryforwards are used in future periods.</w:t>
      </w:r>
    </w:p>
    <w:p>
      <w:pPr>
        <w:spacing w:after="0" w:line="187"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The Company had no unrecognized tax benefits as of March 31, 2015 or September 30, 2014. Unrecognized tax benefits represent tax positions for which reserves have been established. The Company’s policy is to record interest and penalties related to uncertain tax positions as part of its income tax provision.</w:t>
      </w:r>
    </w:p>
    <w:p>
      <w:pPr>
        <w:spacing w:after="0" w:line="268" w:lineRule="exact"/>
        <w:rPr>
          <w:sz w:val="20"/>
          <w:szCs w:val="20"/>
          <w:color w:val="auto"/>
        </w:rPr>
      </w:pPr>
    </w:p>
    <w:p>
      <w:pPr>
        <w:ind w:right="8420" w:firstLine="8"/>
        <w:spacing w:after="0" w:line="378" w:lineRule="auto"/>
        <w:tabs>
          <w:tab w:leader="none" w:pos="446"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 Leases</w:t>
      </w:r>
    </w:p>
    <w:p>
      <w:pPr>
        <w:ind w:right="140"/>
        <w:spacing w:after="0" w:line="279" w:lineRule="auto"/>
        <w:rPr>
          <w:sz w:val="20"/>
          <w:szCs w:val="20"/>
          <w:color w:val="auto"/>
        </w:rPr>
      </w:pPr>
      <w:r>
        <w:rPr>
          <w:rFonts w:ascii="Arial" w:cs="Arial" w:eastAsia="Arial" w:hAnsi="Arial"/>
          <w:sz w:val="17"/>
          <w:szCs w:val="17"/>
          <w:color w:val="auto"/>
        </w:rPr>
        <w:t>In March 2015 the Company amended its lease of office and laboratory space to expand the rented space and extend the lease term beginning in the fourth fiscal quarter of 2015. As amended, the lease expires in September 2022. Payment escalation as specified in the lease agreement is accrued such that rent expense is recognized on a straight-line basis over the term of occupancy. The Company recorded rent expense of $243 and $237 for the three months ended March 31, 2015 and 2014, respectively, and $480 and $474 for the six months ended March 31, 2015 and 2014, respectively.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for operating leases as of March 31, 2015 are as follows: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1660" w:type="dxa"/>
            <w:vAlign w:val="bottom"/>
            <w:gridSpan w:val="2"/>
          </w:tcPr>
          <w:p>
            <w:pPr>
              <w:spacing w:after="0"/>
              <w:rPr>
                <w:sz w:val="20"/>
                <w:szCs w:val="20"/>
                <w:color w:val="auto"/>
              </w:rPr>
            </w:pPr>
            <w:r>
              <w:rPr>
                <w:rFonts w:ascii="Arial" w:cs="Arial" w:eastAsia="Arial" w:hAnsi="Arial"/>
                <w:sz w:val="14"/>
                <w:szCs w:val="14"/>
                <w:b w:val="1"/>
                <w:bCs w:val="1"/>
                <w:color w:val="auto"/>
                <w:w w:val="91"/>
              </w:rPr>
              <w:t>Year ending September 30,</w:t>
            </w:r>
          </w:p>
        </w:tc>
        <w:tc>
          <w:tcPr>
            <w:tcW w:w="5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16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2015</w:t>
            </w:r>
          </w:p>
        </w:tc>
        <w:tc>
          <w:tcPr>
            <w:tcW w:w="5440" w:type="dxa"/>
            <w:vAlign w:val="bottom"/>
            <w:tcBorders>
              <w:top w:val="single" w:sz="8" w:color="CCEEFF"/>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2016</w:t>
            </w:r>
          </w:p>
        </w:tc>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1,958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2018</w:t>
            </w:r>
          </w:p>
        </w:tc>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Thereafter</w:t>
            </w:r>
          </w:p>
        </w:tc>
        <w:tc>
          <w:tcPr>
            <w:tcW w:w="5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15,277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connection with the lease, the Company has outstanding a $608 and $436 letter of credit, collateralized by a money market account, as of March 31, 2015 and September 30, 2014, respectively. The Company classified such amounts as restricted cash.</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Licenses</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has a non-exclusive intellectual property license agreement with a third party, under which the Company is required to pay $200 in fiscal 2015 and (1) annual maintenance fees of $105 for each year that the agreement remains in effect, commencing on the first anniversary of the agreement, in order to maintain the right to use the license, and (2) a one-time fee of $50 in each circumstance in which the Company provides the licensed intellectual property to one of its collaborators with the prior consent of the licensor.</w:t>
      </w:r>
    </w:p>
    <w:p>
      <w:pPr>
        <w:spacing w:after="0" w:line="187"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Company also has a non-exclusive license with respect to patents it uses in its HCV research. Under the license, the Company is obligated to pay milestones totaling up to $5,000, plus low single digit royalties, for the development and regulatory approval of each HCV product outside of the Company’s collaboration with AbbVie and any other collaboration it may enter into in the future with a partner that has already licensed these patents.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 and Contingencies Related to Use of Intellectual Property</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From time to time, the Company may become subject to legal proceedings, claims and litigation arising in the ordinary course of business. The Company currently is not a party to any threatened or pending litigation. However, third parties might allege that the Company or its collaborators are infringing their patent rights or that the Company is otherwise violating their intellectual property rights. Such third parties may resort to litigation against the Company or its collaborators, which the Company has agreed to indemnify. With respect to some of these patents, the Company expects that it will be required to obtain licenses and could be required to pay license fees or royalties, or both. These licenses may not be available on acceptable terms, or at all. A costly license, or inability to obtain a necessary license, could have a material adverse effect on the Company’s financial condition, results of operations or cash flows. The Company accrues contingent liabilities when it is probable that future expenditures will be made and such expenditures can be reasonably estimated.</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i w:val="1"/>
          <w:iCs w:val="1"/>
          <w:color w:val="auto"/>
        </w:rPr>
        <w:t>The following discussion and analysis of our financial condition and results of operations should be read in conjunction with the unaudited consolidated financial statements and notes thereto included elsewhere in this Quarterly Report on Form 10-Q and the audited consolidated financial statements and notes thereto for our fiscal year ended September 30, 2014 included in our Annual Report on Form 10-K for that fiscal year. This Quarterly Report on Form 10-Q contains “forward-looking statements” within the meaning of Section 21E of the Securities Exchange Act of 1934, as amended, or the Exchange Act. These statements are often identified by the use of words such as “may,” “will,” “expect,” “believe,” “anticipate,” “intend,” “could,” “should,” “estimate,” or “continue,” and similar expressions or variations. Such forward-looking statements are subject to risks, uncertainties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in Part II, Item 1A of this Quarterly Report on Form 10-Q. The forward-looking statements in this Quarterly Report on Form 10-Q represent our views as of the date of this Quarterly Report on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are a research and development-focused biotechnology company that uses its robust chemistry-driven approach and drug discovery capabilities to create small molecule drugs for the treatment of viral infections and liver diseases. We are discovering and developing inhibitors designed for use against the hepatitis C virus, referred to as HCV. We believe that a successful approach to a complete cure for HCV in most patients will likely continue to require treatment with a combination of drugs that attack different mechanisms necessary for replication and survival of HCV. Our development of inhibitors for validated HCV target mechanisms, as well as our collaboration with AbbVie (which name refers to Abbott Laboratories for all periods before January 1, 2013), should allow us to participate in multiple drug combinations as we seek competitive combination therapies for HCV in its various forms, either through collaborations or on our own. The reported worldwide sales of the newest therapies for HCV (sofosbuvir, sofosbuvir/ledipasvir, simeprevir, daclatasvir/asunaprevir, ombitasvir/paritaprevir/ritonavir/dasabuvir) in 2014 totaled approximately $15 billion. We believe that annual worldwide sales of these therapies and future approved therapies could increase during the next few years. In addition to our HCV programs, we are using our internal research capabilities to advance several early stage programs to discover new chemical entities for the treatment of other diseases with significant unmet medical need, including our recently announced new focus area in non-alcoholic steatohepatitis, or NASH. We have utilized our internal chemistry and drug discovery capabilities and our collaborations to generate all of our development-stage programs, and we have active research efforts to broaden our drug pipeline.</w:t>
      </w:r>
    </w:p>
    <w:p>
      <w:pPr>
        <w:spacing w:after="0" w:line="1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product development pipeline in HCV antivirals: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5917565" cy="46482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917565" cy="4648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HCV portfolio includes inhibitors of four fundamental, validated HCV targets. Our first product, paritaprevir, previously known as ABT-450, is a protease inhibitor that was discovered through our collaboration with AbbVie. During the six months ended March 31, 2015, we earned and recognized as revenue milestone payments from AbbVie totaling $125.0 million as a result of regulatory approvals in the U.S. and E.U. for the first regimens containing paritaprevir. Additional regulatory reviews for paritaprevir-containing regimens are ongoing, including priority review in the U.S. of an NDA filed for the treatment of genotype 4 HCV patients, which has been designated a breakthrough therapy, as well priority review in Japan for a ribavirin-free regimen for genotype 1 HCV patients in that country. To date AbbVie has funded all research and development of our protease inhibitors since we entered into the collaboration in November 2006, and is responsible for obtaining regulatory approvals and commercializing paritaprevir, ABT-493 and any other follow-on products worldwide.</w:t>
      </w:r>
    </w:p>
    <w:p>
      <w:pPr>
        <w:spacing w:after="0" w:line="19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discovered our lead NS5A product candidate, EDP-239, internally at Enanta and entered into a collaboration agreement with Novartis in February 2012. Under the agreement we received a total of $48.2 million in upfront fees, research funding and a milestone payment from Novartis. As a result of a corporate decision that HCV would no longer be a strategic focus for Novartis, on September 30, 2014, we entered into an agreement with Novartis to return to us full rights to this program, including transitioning the proof-of-concept study to us. We owe no future payments to Novartis in connection with this transfer except for any unused drug product or ingredients that we may choose to buy from Novartis.</w:t>
      </w:r>
    </w:p>
    <w:p>
      <w:pPr>
        <w:spacing w:after="0" w:line="17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Our independent HCV research activities are focused on our newly returned NS5A inhibitor assets and our cyclophilin inhibitor program, which is in preclinical development. We also have a small-molecule drug discovery effort underway for nucleotide polymerase inhibitors. We are currently funding all research and development for our NS5A inhibitor, cyclophilin inhibitor and nucleotide polymerase inhibitor programs. We expect to incur substantially greater expenses if we advance these programs into clinical development.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addition to our HCV programs, we used our internal research capabilities to discover a new class of antibiotics called Bicyclolides, which we were developing for the treatment of multi-drug resistant bacteria. For the periods included in this report this program has been funded under a September 2011 contract with the National Institute of Allergy and Infectious Diseases, or NIAID, a division of the National Institutes of Health, an agency of the United States Department of Health and Human Services, to develop our lead bicyclolide for biodefense purposes. In December 2014 we communicated to NIAID our strategic decision to discontinue commercial development of this antibiotic candidate for non-biodefense indications. In February 2015, we and NIAID amended our contract to change its completion date to August 2015 upon our delivery of the study report for our Phase 1 study. Accordingly we do not expect to earn any significant additional revenue under this contract.</w:t>
      </w:r>
    </w:p>
    <w:p>
      <w:pPr>
        <w:spacing w:after="0" w:line="18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Since commencing our operations in 1995, we have devoted substantially all of our resources to the discovery and development of novel inhibitors for the treatment of infectious diseases. For the periods included in this report we have funded our operations primarily through payments received under our collaborations and a government contract, as well as net proceeds of approximately $59.9 million that we received from our March 2013 IPO, after deducting underwriting discounts and commissions.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2015, we had $226.8 million in cash and short-term and long-term marketable securities.</w:t>
      </w:r>
    </w:p>
    <w:p>
      <w:pPr>
        <w:spacing w:after="0" w:line="225"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color w:val="auto"/>
        </w:rPr>
        <w:t>Our revenue from our collaboration agreements has resulted in our reporting net income in each of our past five fiscal years and in the six months ended March 31, 2015. We expect that our revenue in the near term will continue to be substantially dependent on our collaboration with AbbVie, including its commercialization of paritaprevir and its continued advancement of the related development programs for paritaprevir and ABT-493. Given the schedule of potential milestone payments and the uncertainties due to the nature and timing of clinical development and regulatory approval and market acceptance of AbbVie’s regimen, we cannot be certain as to the extent of royalty payments related to paritaprevir or when or whether we will receive further milestone payments under this collaboration or whether we will report continuing net income in future years.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For the periods included in this report, our revenue has been derived from two primary sources: collaboration agreements with pharmaceutical companies and one government research and development contract. For the six months ended March 31, 2015, we generated royalty revenue from AbbVie’s net sales allocable to paritaprevir, which was part of AbbVie’s new treatment for HCV launched in the United States after its approval by the FDA on December 19, 2014. We have entered into three significant collaboration agreements since 2006 when we entered into a collaboration agreement with AbbVie. Our second collaboration was with Novartis, from February 2012 through September 2014, and since September 2011, we have had a contract with NIAID, which has funded the preclinical and early clinical development of our bicyclolide antibiotic product candidate since that time.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is a summary of revenue recognized from our collaboration agreements and government contract for the three and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2015 and 2014:</w:t>
      </w:r>
    </w:p>
    <w:p>
      <w:pPr>
        <w:spacing w:after="0" w:line="21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500" w:type="dxa"/>
            <w:vAlign w:val="bottom"/>
            <w:gridSpan w:val="4"/>
          </w:tcPr>
          <w:p>
            <w:pPr>
              <w:ind w:left="100"/>
              <w:spacing w:after="0"/>
              <w:rPr>
                <w:sz w:val="20"/>
                <w:szCs w:val="20"/>
                <w:color w:val="auto"/>
              </w:rPr>
            </w:pPr>
            <w:r>
              <w:rPr>
                <w:rFonts w:ascii="Arial" w:cs="Arial" w:eastAsia="Arial" w:hAnsi="Arial"/>
                <w:sz w:val="14"/>
                <w:szCs w:val="14"/>
                <w:b w:val="1"/>
                <w:bCs w:val="1"/>
                <w:color w:val="auto"/>
                <w:w w:val="99"/>
              </w:rPr>
              <w:t>Three Months Ended</w:t>
            </w:r>
          </w:p>
        </w:tc>
        <w:tc>
          <w:tcPr>
            <w:tcW w:w="400" w:type="dxa"/>
            <w:vAlign w:val="bottom"/>
          </w:tcPr>
          <w:p>
            <w:pPr>
              <w:spacing w:after="0"/>
              <w:rPr>
                <w:sz w:val="14"/>
                <w:szCs w:val="14"/>
                <w:color w:val="auto"/>
              </w:rPr>
            </w:pPr>
          </w:p>
        </w:tc>
        <w:tc>
          <w:tcPr>
            <w:tcW w:w="15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44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5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44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84"/>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r>
      <w:tr>
        <w:trPr>
          <w:trHeight w:val="142"/>
        </w:trPr>
        <w:tc>
          <w:tcPr>
            <w:tcW w:w="44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tcPr>
          <w:p>
            <w:pPr>
              <w:ind w:left="120"/>
              <w:spacing w:after="0" w:line="142" w:lineRule="exact"/>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AbbVie agreement:</w:t>
            </w:r>
          </w:p>
        </w:tc>
        <w:tc>
          <w:tcPr>
            <w:tcW w:w="26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4420" w:type="dxa"/>
            <w:vAlign w:val="bottom"/>
          </w:tcPr>
          <w:p>
            <w:pPr>
              <w:ind w:left="360"/>
              <w:spacing w:after="0"/>
              <w:rPr>
                <w:sz w:val="20"/>
                <w:szCs w:val="20"/>
                <w:color w:val="auto"/>
              </w:rPr>
            </w:pPr>
            <w:r>
              <w:rPr>
                <w:rFonts w:ascii="Arial" w:cs="Arial" w:eastAsia="Arial" w:hAnsi="Arial"/>
                <w:sz w:val="18"/>
                <w:szCs w:val="18"/>
                <w:color w:val="auto"/>
              </w:rPr>
              <w:t>Milestone payments</w:t>
            </w:r>
          </w:p>
        </w:tc>
        <w:tc>
          <w:tcPr>
            <w:tcW w:w="3580" w:type="dxa"/>
            <w:vAlign w:val="bottom"/>
            <w:gridSpan w:val="3"/>
          </w:tcPr>
          <w:p>
            <w:pPr>
              <w:jc w:val="right"/>
              <w:ind w:right="380"/>
              <w:spacing w:after="0"/>
              <w:rPr>
                <w:sz w:val="20"/>
                <w:szCs w:val="20"/>
                <w:color w:val="auto"/>
              </w:rPr>
            </w:pPr>
            <w:r>
              <w:rPr>
                <w:rFonts w:ascii="Arial" w:cs="Arial" w:eastAsia="Arial" w:hAnsi="Arial"/>
                <w:sz w:val="18"/>
                <w:szCs w:val="18"/>
                <w:color w:val="auto"/>
              </w:rPr>
              <w:t>$50,000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$125,000</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120"/>
              <w:spacing w:after="0"/>
              <w:rPr>
                <w:sz w:val="20"/>
                <w:szCs w:val="20"/>
                <w:color w:val="auto"/>
              </w:rPr>
            </w:pPr>
            <w:r>
              <w:rPr>
                <w:rFonts w:ascii="Arial" w:cs="Arial" w:eastAsia="Arial" w:hAnsi="Arial"/>
                <w:sz w:val="18"/>
                <w:szCs w:val="18"/>
                <w:color w:val="auto"/>
              </w:rPr>
              <w:t>—</w:t>
            </w: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Royalties</w:t>
            </w:r>
          </w:p>
        </w:tc>
        <w:tc>
          <w:tcPr>
            <w:tcW w:w="35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6,961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r>
      <w:tr>
        <w:trPr>
          <w:trHeight w:val="223"/>
        </w:trPr>
        <w:tc>
          <w:tcPr>
            <w:tcW w:w="4420" w:type="dxa"/>
            <w:vAlign w:val="bottom"/>
          </w:tcPr>
          <w:p>
            <w:pPr>
              <w:spacing w:after="0"/>
              <w:rPr>
                <w:sz w:val="20"/>
                <w:szCs w:val="20"/>
                <w:color w:val="auto"/>
              </w:rPr>
            </w:pPr>
            <w:r>
              <w:rPr>
                <w:rFonts w:ascii="Arial" w:cs="Arial" w:eastAsia="Arial" w:hAnsi="Arial"/>
                <w:sz w:val="18"/>
                <w:szCs w:val="18"/>
                <w:color w:val="auto"/>
              </w:rPr>
              <w:t>NIAID contract</w:t>
            </w:r>
          </w:p>
        </w:tc>
        <w:tc>
          <w:tcPr>
            <w:tcW w:w="260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3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84"/>
              </w:rPr>
              <w:t>2,160</w:t>
            </w:r>
          </w:p>
        </w:tc>
        <w:tc>
          <w:tcPr>
            <w:tcW w:w="40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w:t>
            </w: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4"/>
              </w:rPr>
              <w:t>3,053</w:t>
            </w:r>
          </w:p>
        </w:tc>
        <w:tc>
          <w:tcPr>
            <w:tcW w:w="200" w:type="dxa"/>
            <w:vAlign w:val="bottom"/>
          </w:tcPr>
          <w:p>
            <w:pPr>
              <w:spacing w:after="0"/>
              <w:rPr>
                <w:sz w:val="19"/>
                <w:szCs w:val="19"/>
                <w:color w:val="auto"/>
              </w:rPr>
            </w:pPr>
          </w:p>
        </w:tc>
      </w:tr>
      <w:tr>
        <w:trPr>
          <w:trHeight w:val="216"/>
        </w:trPr>
        <w:tc>
          <w:tcPr>
            <w:tcW w:w="44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35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57,367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84"/>
              </w:rPr>
              <w:t>2,160</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134,865</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w w:val="84"/>
              </w:rPr>
              <w:t>3,053</w:t>
            </w:r>
          </w:p>
        </w:tc>
        <w:tc>
          <w:tcPr>
            <w:tcW w:w="200" w:type="dxa"/>
            <w:vAlign w:val="bottom"/>
            <w:shd w:val="clear" w:color="auto" w:fill="CCEEFF"/>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Agreement</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Since all of our research obligations under the AbbVie agreement were concluded by June 30, 2011, each milestone payment received since then, has been recognized as revenue upon achievement of the milestone by AbbVie. During the year ended September 30, 2013, we earned and recognized as revenue a $15.0 million milestone payment based on AbbVie’s initiation of dosing in a Phase 3 clinical trial that included paritaprevir. During the year ended September 30, 2014, we earned and recognized as revenue a total of $40.0 million in milestone payments as a result of regulatory filings by AbbVie with the FDA and the European Medicines Agency, or EMA, for the first protease inhibitor product resulting from our collaboration with AbbVie. During the six months ended March 31,</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1" w:lineRule="auto"/>
        <w:rPr>
          <w:sz w:val="20"/>
          <w:szCs w:val="20"/>
          <w:color w:val="auto"/>
        </w:rPr>
      </w:pPr>
      <w:r>
        <w:rPr>
          <w:rFonts w:ascii="Arial" w:cs="Arial" w:eastAsia="Arial" w:hAnsi="Arial"/>
          <w:sz w:val="17"/>
          <w:szCs w:val="17"/>
          <w:color w:val="auto"/>
        </w:rPr>
        <w:t xml:space="preserve">2015, we earned and recognized as revenue a $75.0 million milestone payment related to AbbVie’s FDA approval of a combination containing paritaprevir. We also earned and recognized as revenue a $50.0 million milestone payment from AbbVie upon commercialization regulatory approval of a similar regimen in Europe. Under the terms of the AbbVie agreement, we are eligible to receive additional future milestone payments totaling up to $30 million related to the successful commercialization regulatory approval by AbbVie in Japan of the first HCV treatment regimen incorporating one of our collaboration’s protease inhibitors. We are also eligible to receive annually tiered, double-digit royalties per product on AbbVie’s net sales, if any, allocable to any one of our collaboration’s protease inhibitors. Under the terms of our agreement, as amended in October 2014, 30% of net sales of a 3-DAA regimen containing paritaprevir will be allocated to paritaprevir, and 45% of net sales of a 2-DAA regimen containing paritaprevir will be allocated to paritaprevir. For ABT-493, 50% of net sales of a 2-DAA regimen containing ABT-493 will be allocated to ABT-493, and 33 </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28"/>
          <w:szCs w:val="28"/>
          <w:color w:val="auto"/>
          <w:vertAlign w:val="subscript"/>
        </w:rPr>
        <w:t>3</w:t>
      </w:r>
      <w:r>
        <w:rPr>
          <w:rFonts w:ascii="Arial" w:cs="Arial" w:eastAsia="Arial" w:hAnsi="Arial"/>
          <w:sz w:val="17"/>
          <w:szCs w:val="17"/>
          <w:color w:val="auto"/>
        </w:rPr>
        <w:t>% of net sales of a 3-DAA regimen containing ABT-493 will be allocated to ABT-493. If there is any active ingredient other than DAA’s in any ABT-493-containing regimen sold by AbbVie, there will be a further adjustment to net sales based on the relative value of the non-DAA ingredient.</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NIAID Contract</w:t>
      </w:r>
    </w:p>
    <w:p>
      <w:pPr>
        <w:spacing w:after="0" w:line="11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Funding originally paid or committed by NIAID has totaled approximately $23.5 million. In December 2014, we communicated to NIAID our strategic decision not to continue commercial development of the antibiotic candidate for non-biodefense indications. In February 2015 we and NIAID amended our contract to decrease the total committed funding to $21.0 million and to change the completion date to August 2015 upon our delivery of the study report for the Phase 1 clinical study.</w:t>
      </w:r>
    </w:p>
    <w:p>
      <w:pPr>
        <w:spacing w:after="0" w:line="187"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recognize revenue under this contract as research and development services are performed. We recognized revenue of $0.4 million and $2.2 million under this contract during the three months ended March 31, 2015 and 2014, respectively, and $1.5 million and $3.1 million during the six months ended March 31, 2015 and 2014, respectively.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operating expenses for the three months ended March 31, 2015 and 2014:</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500" w:type="dxa"/>
            <w:vAlign w:val="bottom"/>
            <w:gridSpan w:val="5"/>
          </w:tcPr>
          <w:p>
            <w:pPr>
              <w:jc w:val="right"/>
              <w:ind w:right="17"/>
              <w:spacing w:after="0"/>
              <w:rPr>
                <w:sz w:val="20"/>
                <w:szCs w:val="20"/>
                <w:color w:val="auto"/>
              </w:rPr>
            </w:pPr>
            <w:r>
              <w:rPr>
                <w:rFonts w:ascii="Arial" w:cs="Arial" w:eastAsia="Arial" w:hAnsi="Arial"/>
                <w:sz w:val="14"/>
                <w:szCs w:val="14"/>
                <w:b w:val="1"/>
                <w:bCs w:val="1"/>
                <w:color w:val="auto"/>
                <w:w w:val="99"/>
              </w:rPr>
              <w:t>Three Months Ended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45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March 31,</w:t>
            </w: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March 31,</w:t>
            </w:r>
          </w:p>
        </w:tc>
      </w:tr>
      <w:tr>
        <w:trPr>
          <w:trHeight w:val="142"/>
        </w:trPr>
        <w:tc>
          <w:tcPr>
            <w:tcW w:w="45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44"/>
              <w:spacing w:after="0" w:line="142" w:lineRule="exact"/>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3"/>
              </w:rPr>
              <w:t>2014</w:t>
            </w:r>
          </w:p>
        </w:tc>
        <w:tc>
          <w:tcPr>
            <w:tcW w:w="40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r>
      <w:tr>
        <w:trPr>
          <w:trHeight w:val="142"/>
        </w:trPr>
        <w:tc>
          <w:tcPr>
            <w:tcW w:w="45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0" w:type="dxa"/>
            <w:vAlign w:val="bottom"/>
            <w:gridSpan w:val="5"/>
          </w:tcPr>
          <w:p>
            <w:pPr>
              <w:ind w:left="12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3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$ 5,368</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4,722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9,887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8,985</w:t>
            </w:r>
          </w:p>
        </w:tc>
        <w:tc>
          <w:tcPr>
            <w:tcW w:w="200" w:type="dxa"/>
            <w:vAlign w:val="bottom"/>
            <w:shd w:val="clear" w:color="auto" w:fill="CCEEFF"/>
          </w:tcPr>
          <w:p>
            <w:pPr>
              <w:spacing w:after="0"/>
              <w:rPr>
                <w:sz w:val="18"/>
                <w:szCs w:val="18"/>
                <w:color w:val="auto"/>
              </w:rPr>
            </w:pPr>
          </w:p>
        </w:tc>
      </w:tr>
      <w:tr>
        <w:trPr>
          <w:trHeight w:val="223"/>
        </w:trPr>
        <w:tc>
          <w:tcPr>
            <w:tcW w:w="45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4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2,565</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6,207</w:t>
            </w: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4,652</w:t>
            </w:r>
          </w:p>
        </w:tc>
        <w:tc>
          <w:tcPr>
            <w:tcW w:w="200" w:type="dxa"/>
            <w:vAlign w:val="bottom"/>
          </w:tcPr>
          <w:p>
            <w:pPr>
              <w:spacing w:after="0"/>
              <w:rPr>
                <w:sz w:val="19"/>
                <w:szCs w:val="19"/>
                <w:color w:val="auto"/>
              </w:rPr>
            </w:pPr>
          </w:p>
        </w:tc>
      </w:tr>
      <w:tr>
        <w:trPr>
          <w:trHeight w:val="216"/>
        </w:trPr>
        <w:tc>
          <w:tcPr>
            <w:tcW w:w="4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3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$ 8,806</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7,287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16,094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13,637</w:t>
            </w:r>
          </w:p>
        </w:tc>
      </w:tr>
      <w:tr>
        <w:trPr>
          <w:trHeight w:val="20"/>
        </w:trPr>
        <w:tc>
          <w:tcPr>
            <w:tcW w:w="45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Research and development expenses consist of costs incurred to conduct basic research, such as the discovery and development of novel small molecules as therapeutics. We expense all costs of research and development as incurred. These expenses consist primarily of:</w:t>
      </w:r>
    </w:p>
    <w:p>
      <w:pPr>
        <w:spacing w:after="0" w:line="76" w:lineRule="exact"/>
        <w:rPr>
          <w:sz w:val="20"/>
          <w:szCs w:val="20"/>
          <w:color w:val="auto"/>
        </w:rPr>
      </w:pPr>
    </w:p>
    <w:p>
      <w:pPr>
        <w:ind w:left="1460" w:right="500" w:hanging="547"/>
        <w:spacing w:after="0" w:line="277" w:lineRule="auto"/>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personnel costs, including salaries, related benefits and stock-based compensation for employees engaged in scientific research and development functions;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preclinical study and clinical trial activities;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third-party license fees;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laboratory consumables;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allocated facility-related costs.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Project-specific expenses reflect costs directly attributable to our clinical development candidates and preclinical candidates nominated and selected for further development. Remaining research and development expenses are reflected in research and drug discovery, which represents early-stage drug discovery programs. At any given time, we typically have several active early stage research and drug discovery projects. Our internal resources, employees and infrastructure are not directly tied to any individual research or drug discovery project and are typically deployed across multiple projects. As such, we do not maintain information regarding costs incurred for our early-stage research and drug discovery programs on a project-specific basis.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We expect that our research and development expenses will increase in the future as we advance our research and development efforts in HCV, NASH and other areas.</w:t>
      </w:r>
    </w:p>
    <w:p>
      <w:pPr>
        <w:spacing w:after="0" w:line="170"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Our research and drug discovery programs are at an early stage; therefore, the successful development of our product candidates is highly uncertain and may not result in approved products. Completion dates and completion costs can vary significantly for each product candidate and are difficult to predict. Given the uncertainty associated with clinical trial enrollments and the risks inherent in the development process, we are unable to determine the duration and completion costs of the current or future clinical trials of our product candidates or if, or to what extent, we will generate revenue from the commercialization and sale of any of our product candidates. We anticipate that we will make determinations as to which development programs to pursue and how much funding to direct to each program on an ongoing basis in response to the preclinical and clinical success of each product candidate, as well as ongoing assessments of the commercial potential of each product candidate.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General and administrative expenses consist primarily of personnel costs, which include salaries, related benefits and stock-based compensation, of our executive, finance, business and corporate development and other administrative functions. General and administrative expenses also include travel expenses, allocated facility-related costs not otherwise included in research and development expenses, and professional fees for auditing, tax and legal services, including legal expenses to pursue patent protection of our intellectual property.</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income. </w:t>
      </w:r>
      <w:r>
        <w:rPr>
          <w:rFonts w:ascii="Arial" w:cs="Arial" w:eastAsia="Arial" w:hAnsi="Arial"/>
          <w:sz w:val="18"/>
          <w:szCs w:val="18"/>
          <w:color w:val="auto"/>
        </w:rPr>
        <w:t>Interest income consists of interest earned on our marketable securities balances.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consists of non-cash interest expense which is being accreted to the value of accrued third-party license fees over the term</w:t>
      </w:r>
      <w:r>
        <w:rPr>
          <w:rFonts w:ascii="Arial" w:cs="Arial" w:eastAsia="Arial" w:hAnsi="Arial"/>
          <w:sz w:val="18"/>
          <w:szCs w:val="18"/>
          <w:i w:val="1"/>
          <w:iCs w:val="1"/>
          <w:color w:val="auto"/>
        </w:rPr>
        <w:t xml:space="preserve"> </w:t>
      </w:r>
      <w:r>
        <w:rPr>
          <w:rFonts w:ascii="Arial" w:cs="Arial" w:eastAsia="Arial" w:hAnsi="Arial"/>
          <w:sz w:val="18"/>
          <w:szCs w:val="18"/>
          <w:color w:val="auto"/>
        </w:rPr>
        <w:t>of the obligation.</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 xml:space="preserve">Change in fair value of warrant liability and Series 1 nonconvertible preferred stock. </w:t>
      </w:r>
      <w:r>
        <w:rPr>
          <w:rFonts w:ascii="Arial" w:cs="Arial" w:eastAsia="Arial" w:hAnsi="Arial"/>
          <w:sz w:val="18"/>
          <w:szCs w:val="18"/>
          <w:color w:val="auto"/>
        </w:rPr>
        <w:t>We have issued warrants for the purchase of our Series 1 nonconvertible</w:t>
      </w:r>
      <w:r>
        <w:rPr>
          <w:rFonts w:ascii="Arial" w:cs="Arial" w:eastAsia="Arial" w:hAnsi="Arial"/>
          <w:sz w:val="18"/>
          <w:szCs w:val="18"/>
          <w:i w:val="1"/>
          <w:iCs w:val="1"/>
          <w:color w:val="auto"/>
        </w:rPr>
        <w:t xml:space="preserve"> </w:t>
      </w:r>
      <w:r>
        <w:rPr>
          <w:rFonts w:ascii="Arial" w:cs="Arial" w:eastAsia="Arial" w:hAnsi="Arial"/>
          <w:sz w:val="18"/>
          <w:szCs w:val="18"/>
          <w:color w:val="auto"/>
        </w:rPr>
        <w:t>preferred stock and we have issued Series 1 nonconvertible preferred stock, both of which we believe are financial instruments that may require a transfer of assets because of the liquidation preference features of the underlying stock. Therefore, we have classified these warrants and Series 1 nonconvertible preferred stock as liabilities that we remeasure to fair value at each reporting period and we record the changes in the fair value of the warrants and Series 1 nonconvertible preferred stock as a component of other income (expense).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is based on our best estimate of applicable rates applied to pre-tax profit reported during the period.</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Our consolidated financial statements are prepared in accordance with accounting principles generally accepted in the United States of America. The preparation of our consolidated financial statements and related disclosures requires us to make estimates and assumptions that affect the reported amount of assets, liabilities, revenue, costs and expenses, and related disclosures. We believe that the estimates and assumptions involved in the accounting policies described below may have the greatest potential impact on our consolidated financial statements and, therefore, consider these to be our critical accounting policies. We evaluate our estimates and assumptions on an ongoing basis. Our actual results may differ from these estimates under different assumptions and conditions. See also Note 2 to our consolidated financial statements included elsewhere in this Quarterly Report on Form 10-Q and our Annual Report on Form 10-K for the fiscal year ended September 30, 2014 (referred to as our 2014 Form 10-K) for information about these accounting policies as well as a description of our other significant accounting policies. We believe that of our significant accounting policies, the following accounting policies involve the most judgment and complexity:</w:t>
      </w:r>
    </w:p>
    <w:p>
      <w:pPr>
        <w:spacing w:after="0" w:line="87" w:lineRule="exact"/>
        <w:rPr>
          <w:sz w:val="20"/>
          <w:szCs w:val="20"/>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Stock-based compensation;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Fair value of warrants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Accordingly, we believe the policies set forth above are critical to fully understanding and evaluating our financial condition and results of operations. If actual results or events differ materially from the estimates, judgments and assumptions used by us in applying these policies, our reported financial condition and results of operations could be materially affected.</w:t>
      </w:r>
    </w:p>
    <w:p>
      <w:pPr>
        <w:spacing w:after="0" w:line="18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There have been no material changes in our critical accounting policies since September 30, 2014. For further information, please see the discussion of critical accounting policies included in our Form 10-K.</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March 31, 2015 and 2014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6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r>
      <w:tr>
        <w:trPr>
          <w:trHeight w:val="171"/>
        </w:trPr>
        <w:tc>
          <w:tcPr>
            <w:tcW w:w="138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Borders>
              <w:bottom w:val="single" w:sz="8" w:color="auto"/>
            </w:tcBorders>
            <w:gridSpan w:val="4"/>
          </w:tcPr>
          <w:p>
            <w:pPr>
              <w:jc w:val="center"/>
              <w:ind w:left="346"/>
              <w:spacing w:after="0"/>
              <w:rPr>
                <w:sz w:val="20"/>
                <w:szCs w:val="20"/>
                <w:color w:val="auto"/>
              </w:rPr>
            </w:pPr>
            <w:r>
              <w:rPr>
                <w:rFonts w:ascii="Arial" w:cs="Arial" w:eastAsia="Arial" w:hAnsi="Arial"/>
                <w:sz w:val="14"/>
                <w:szCs w:val="14"/>
                <w:b w:val="1"/>
                <w:bCs w:val="1"/>
                <w:color w:val="auto"/>
                <w:w w:val="95"/>
              </w:rPr>
              <w:t>March 31,</w:t>
            </w: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38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Borders>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4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$57,367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2,160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5,368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4,722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3,438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2,565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Other income (expense):</w:t>
            </w:r>
          </w:p>
        </w:tc>
        <w:tc>
          <w:tcPr>
            <w:tcW w:w="8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1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720" w:type="dxa"/>
            <w:vAlign w:val="bottom"/>
            <w:gridSpan w:val="3"/>
          </w:tcPr>
          <w:p>
            <w:pPr>
              <w:jc w:val="right"/>
              <w:ind w:right="18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1380" w:type="dxa"/>
            <w:vAlign w:val="bottom"/>
          </w:tcPr>
          <w:p>
            <w:pPr>
              <w:spacing w:after="0"/>
              <w:rPr>
                <w:sz w:val="18"/>
                <w:szCs w:val="18"/>
                <w:color w:val="auto"/>
              </w:rPr>
            </w:pPr>
          </w:p>
        </w:tc>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 liability and Series 1 preferred stock</w:t>
            </w:r>
          </w:p>
        </w:tc>
        <w:tc>
          <w:tcPr>
            <w:tcW w:w="17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(186)</w:t>
            </w:r>
          </w:p>
        </w:tc>
      </w:tr>
      <w:tr>
        <w:trPr>
          <w:trHeight w:val="540"/>
        </w:trPr>
        <w:tc>
          <w:tcPr>
            <w:tcW w:w="75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8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1380" w:type="dxa"/>
            <w:vAlign w:val="bottom"/>
          </w:tcPr>
          <w:p>
            <w:pPr>
              <w:spacing w:after="0"/>
              <w:rPr>
                <w:sz w:val="24"/>
                <w:szCs w:val="24"/>
                <w:color w:val="auto"/>
              </w:rPr>
            </w:pPr>
          </w:p>
        </w:tc>
        <w:tc>
          <w:tcPr>
            <w:tcW w:w="6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6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1380" w:type="dxa"/>
            <w:vAlign w:val="bottom"/>
          </w:tcPr>
          <w:p>
            <w:pPr>
              <w:spacing w:after="0"/>
              <w:rPr>
                <w:sz w:val="14"/>
                <w:szCs w:val="14"/>
                <w:color w:val="auto"/>
              </w:rPr>
            </w:pPr>
          </w:p>
        </w:tc>
        <w:tc>
          <w:tcPr>
            <w:tcW w:w="6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Borders>
              <w:bottom w:val="single" w:sz="8" w:color="auto"/>
            </w:tcBorders>
            <w:gridSpan w:val="4"/>
          </w:tcPr>
          <w:p>
            <w:pPr>
              <w:jc w:val="center"/>
              <w:ind w:left="366"/>
              <w:spacing w:after="0"/>
              <w:rPr>
                <w:sz w:val="20"/>
                <w:szCs w:val="20"/>
                <w:color w:val="auto"/>
              </w:rPr>
            </w:pPr>
            <w:r>
              <w:rPr>
                <w:rFonts w:ascii="Arial" w:cs="Arial" w:eastAsia="Arial" w:hAnsi="Arial"/>
                <w:sz w:val="14"/>
                <w:szCs w:val="14"/>
                <w:b w:val="1"/>
                <w:bCs w:val="1"/>
                <w:color w:val="auto"/>
                <w:w w:val="99"/>
              </w:rPr>
              <w:t>March 31,</w:t>
            </w:r>
          </w:p>
        </w:tc>
        <w:tc>
          <w:tcPr>
            <w:tcW w:w="4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138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0" w:type="dxa"/>
            <w:vAlign w:val="bottom"/>
            <w:tcBorders>
              <w:bottom w:val="single" w:sz="8" w:color="auto"/>
            </w:tcBorders>
          </w:tcPr>
          <w:p>
            <w:pPr>
              <w:jc w:val="right"/>
              <w:ind w:right="86"/>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1380" w:type="dxa"/>
            <w:vAlign w:val="bottom"/>
          </w:tcPr>
          <w:p>
            <w:pPr>
              <w:spacing w:after="0"/>
              <w:rPr>
                <w:sz w:val="12"/>
                <w:szCs w:val="12"/>
                <w:color w:val="auto"/>
              </w:rPr>
            </w:pPr>
          </w:p>
        </w:tc>
        <w:tc>
          <w:tcPr>
            <w:tcW w:w="6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560" w:type="dxa"/>
            <w:vAlign w:val="bottom"/>
            <w:gridSpan w:val="6"/>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r>
      <w:tr>
        <w:trPr>
          <w:trHeight w:val="216"/>
        </w:trPr>
        <w:tc>
          <w:tcPr>
            <w:tcW w:w="1380" w:type="dxa"/>
            <w:vAlign w:val="bottom"/>
          </w:tcPr>
          <w:p>
            <w:pPr>
              <w:spacing w:after="0"/>
              <w:rPr>
                <w:sz w:val="18"/>
                <w:szCs w:val="18"/>
                <w:color w:val="auto"/>
              </w:rPr>
            </w:pPr>
          </w:p>
        </w:tc>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AbbVie agreement:</w:t>
            </w:r>
          </w:p>
        </w:tc>
        <w:tc>
          <w:tcPr>
            <w:tcW w:w="8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1380" w:type="dxa"/>
            <w:vAlign w:val="bottom"/>
          </w:tcPr>
          <w:p>
            <w:pPr>
              <w:spacing w:after="0"/>
              <w:rPr>
                <w:sz w:val="18"/>
                <w:szCs w:val="18"/>
                <w:color w:val="auto"/>
              </w:rPr>
            </w:pPr>
          </w:p>
        </w:tc>
        <w:tc>
          <w:tcPr>
            <w:tcW w:w="6140" w:type="dxa"/>
            <w:vAlign w:val="bottom"/>
          </w:tcPr>
          <w:p>
            <w:pPr>
              <w:ind w:left="360"/>
              <w:spacing w:after="0"/>
              <w:rPr>
                <w:sz w:val="20"/>
                <w:szCs w:val="20"/>
                <w:color w:val="auto"/>
              </w:rPr>
            </w:pPr>
            <w:r>
              <w:rPr>
                <w:rFonts w:ascii="Arial" w:cs="Arial" w:eastAsia="Arial" w:hAnsi="Arial"/>
                <w:sz w:val="18"/>
                <w:szCs w:val="18"/>
                <w:color w:val="auto"/>
              </w:rPr>
              <w:t>Milestone payments</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$50,000</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gridSpan w:val="3"/>
          </w:tcPr>
          <w:p>
            <w:pPr>
              <w:ind w:left="160"/>
              <w:spacing w:after="0"/>
              <w:rPr>
                <w:sz w:val="20"/>
                <w:szCs w:val="20"/>
                <w:color w:val="auto"/>
              </w:rPr>
            </w:pPr>
            <w:r>
              <w:rPr>
                <w:rFonts w:ascii="Arial" w:cs="Arial" w:eastAsia="Arial" w:hAnsi="Arial"/>
                <w:sz w:val="18"/>
                <w:szCs w:val="18"/>
                <w:color w:val="auto"/>
              </w:rPr>
              <w:t>—</w:t>
            </w:r>
          </w:p>
        </w:tc>
      </w:tr>
      <w:tr>
        <w:trPr>
          <w:trHeight w:val="216"/>
        </w:trPr>
        <w:tc>
          <w:tcPr>
            <w:tcW w:w="1380" w:type="dxa"/>
            <w:vAlign w:val="bottom"/>
          </w:tcPr>
          <w:p>
            <w:pPr>
              <w:spacing w:after="0"/>
              <w:rPr>
                <w:sz w:val="18"/>
                <w:szCs w:val="18"/>
                <w:color w:val="auto"/>
              </w:rPr>
            </w:pPr>
          </w:p>
        </w:tc>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Royalties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6,961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r>
      <w:tr>
        <w:trPr>
          <w:trHeight w:val="223"/>
        </w:trPr>
        <w:tc>
          <w:tcPr>
            <w:tcW w:w="1380" w:type="dxa"/>
            <w:vAlign w:val="bottom"/>
          </w:tcPr>
          <w:p>
            <w:pPr>
              <w:spacing w:after="0"/>
              <w:rPr>
                <w:sz w:val="19"/>
                <w:szCs w:val="19"/>
                <w:color w:val="auto"/>
              </w:rPr>
            </w:pPr>
          </w:p>
        </w:tc>
        <w:tc>
          <w:tcPr>
            <w:tcW w:w="6140" w:type="dxa"/>
            <w:vAlign w:val="bottom"/>
          </w:tcPr>
          <w:p>
            <w:pPr>
              <w:spacing w:after="0"/>
              <w:rPr>
                <w:sz w:val="20"/>
                <w:szCs w:val="20"/>
                <w:color w:val="auto"/>
              </w:rPr>
            </w:pPr>
            <w:r>
              <w:rPr>
                <w:rFonts w:ascii="Arial" w:cs="Arial" w:eastAsia="Arial" w:hAnsi="Arial"/>
                <w:sz w:val="18"/>
                <w:szCs w:val="18"/>
                <w:color w:val="auto"/>
              </w:rPr>
              <w:t>NIAID contract</w:t>
            </w:r>
          </w:p>
        </w:tc>
        <w:tc>
          <w:tcPr>
            <w:tcW w:w="880" w:type="dxa"/>
            <w:vAlign w:val="bottom"/>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w w:val="88"/>
              </w:rPr>
              <w:t>2,160</w:t>
            </w:r>
          </w:p>
        </w:tc>
        <w:tc>
          <w:tcPr>
            <w:tcW w:w="100" w:type="dxa"/>
            <w:vAlign w:val="bottom"/>
          </w:tcPr>
          <w:p>
            <w:pPr>
              <w:spacing w:after="0"/>
              <w:rPr>
                <w:sz w:val="19"/>
                <w:szCs w:val="19"/>
                <w:color w:val="auto"/>
              </w:rPr>
            </w:pPr>
          </w:p>
        </w:tc>
      </w:tr>
      <w:tr>
        <w:trPr>
          <w:trHeight w:val="216"/>
        </w:trPr>
        <w:tc>
          <w:tcPr>
            <w:tcW w:w="1380" w:type="dxa"/>
            <w:vAlign w:val="bottom"/>
          </w:tcPr>
          <w:p>
            <w:pPr>
              <w:spacing w:after="0"/>
              <w:rPr>
                <w:sz w:val="18"/>
                <w:szCs w:val="18"/>
                <w:color w:val="auto"/>
              </w:rPr>
            </w:pPr>
          </w:p>
        </w:tc>
        <w:tc>
          <w:tcPr>
            <w:tcW w:w="61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57,367</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88"/>
              </w:rPr>
              <w:t>2,160</w:t>
            </w:r>
          </w:p>
        </w:tc>
        <w:tc>
          <w:tcPr>
            <w:tcW w:w="100" w:type="dxa"/>
            <w:vAlign w:val="bottom"/>
            <w:shd w:val="clear" w:color="auto" w:fill="CCEEFF"/>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6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recognized revenue of $57.4 million during the three months ended March 31, 2015, as compared to $2.2 million during the three months ended March 31, 2014. During the three months ended March 31, 2015, revenue consisted of a $50.0 million milestone payment from AbbVie upon commercialization regulatory approval of paritaprevir-containing regimens in Europe, $7.0 million in royalties on the portion of AbbVie’s net sales of its HCV treatment regimen allocable to paritaprevir, and $0.4 million under our contract with NIAID. During the three months ended March 31, 2014 we did not earn or recognize any revenue related to AbbVie collaboration. During the three months ended March 31, 2014, revenue related to our performance of services under our contract with NIAID was $2.1 million. The decrease is due to the nearing completion of the contract in August 2015.</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44" w:lineRule="exact"/>
        <w:rPr>
          <w:sz w:val="20"/>
          <w:szCs w:val="20"/>
          <w:color w:val="auto"/>
        </w:rPr>
      </w:pPr>
    </w:p>
    <w:p>
      <w:pPr>
        <w:jc w:val="center"/>
        <w:ind w:left="6940"/>
        <w:spacing w:after="0"/>
        <w:rPr>
          <w:sz w:val="20"/>
          <w:szCs w:val="20"/>
          <w:color w:val="auto"/>
        </w:rPr>
      </w:pPr>
      <w:r>
        <w:rPr>
          <w:rFonts w:ascii="Arial" w:cs="Arial" w:eastAsia="Arial" w:hAnsi="Arial"/>
          <w:sz w:val="14"/>
          <w:szCs w:val="14"/>
          <w:b w:val="1"/>
          <w:bCs w:val="1"/>
          <w:color w:val="auto"/>
        </w:rPr>
        <w:t>Three Months Ended</w:t>
      </w:r>
    </w:p>
    <w:p>
      <w:pPr>
        <w:jc w:val="center"/>
        <w:ind w:left="694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38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7"/>
              <w:spacing w:after="0" w:line="142" w:lineRule="exact"/>
              <w:rPr>
                <w:sz w:val="20"/>
                <w:szCs w:val="20"/>
                <w:color w:val="auto"/>
              </w:rPr>
            </w:pPr>
            <w:r>
              <w:rPr>
                <w:rFonts w:ascii="Arial" w:cs="Arial" w:eastAsia="Arial" w:hAnsi="Arial"/>
                <w:sz w:val="14"/>
                <w:szCs w:val="14"/>
                <w:b w:val="1"/>
                <w:bCs w:val="1"/>
                <w:color w:val="auto"/>
                <w:w w:val="89"/>
              </w:rPr>
              <w:t>2015</w:t>
            </w:r>
          </w:p>
        </w:tc>
        <w:tc>
          <w:tcPr>
            <w:tcW w:w="4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gridSpan w:val="4"/>
          </w:tcPr>
          <w:p>
            <w:pPr>
              <w:jc w:val="right"/>
              <w:ind w:right="254"/>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Development programs:</w:t>
            </w:r>
          </w:p>
        </w:tc>
        <w:tc>
          <w:tcPr>
            <w:tcW w:w="3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ind w:left="360"/>
              <w:spacing w:after="0"/>
              <w:rPr>
                <w:sz w:val="20"/>
                <w:szCs w:val="20"/>
                <w:color w:val="auto"/>
              </w:rPr>
            </w:pPr>
            <w:r>
              <w:rPr>
                <w:rFonts w:ascii="Arial" w:cs="Arial" w:eastAsia="Arial" w:hAnsi="Arial"/>
                <w:sz w:val="18"/>
                <w:szCs w:val="18"/>
                <w:color w:val="auto"/>
              </w:rPr>
              <w:t>Antibiotic</w:t>
            </w:r>
          </w:p>
        </w:tc>
        <w:tc>
          <w:tcPr>
            <w:tcW w:w="3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299</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drug discovery</w:t>
            </w:r>
          </w:p>
        </w:tc>
        <w:tc>
          <w:tcPr>
            <w:tcW w:w="3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5,069</w:t>
            </w:r>
          </w:p>
        </w:tc>
        <w:tc>
          <w:tcPr>
            <w:tcW w:w="4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3,136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00" w:type="dxa"/>
            <w:vAlign w:val="bottom"/>
          </w:tcPr>
          <w:p>
            <w:pPr>
              <w:ind w:left="360"/>
              <w:spacing w:after="0"/>
              <w:rPr>
                <w:sz w:val="20"/>
                <w:szCs w:val="20"/>
                <w:color w:val="auto"/>
              </w:rPr>
            </w:pPr>
            <w:r>
              <w:rPr>
                <w:rFonts w:ascii="Arial" w:cs="Arial" w:eastAsia="Arial" w:hAnsi="Arial"/>
                <w:sz w:val="18"/>
                <w:szCs w:val="18"/>
                <w:color w:val="auto"/>
              </w:rPr>
              <w:t>Total research and development expenses</w:t>
            </w:r>
          </w:p>
        </w:tc>
        <w:tc>
          <w:tcPr>
            <w:tcW w:w="324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5,368</w:t>
            </w:r>
          </w:p>
        </w:tc>
        <w:tc>
          <w:tcPr>
            <w:tcW w:w="4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4,722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3240" w:type="dxa"/>
            <w:vAlign w:val="bottom"/>
            <w:vMerge w:val="restart"/>
          </w:tcPr>
          <w:p>
            <w:pPr>
              <w:jc w:val="right"/>
              <w:ind w:right="25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0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Research and development expenses were $5.4 million in the three months ended March 31, 2015, as compared to $4.7 million for the same period in 2014. The $0.7 million increase was due primarily to an increase in expenses related to our early stage drug discovery programs of $2.0 million partially offset by a decrease in our NIAID program of $1.3 million. We incurred increased research expenses in the second quarter of fiscal 2015 as compared to the 2014 quarter in our early stage drug discovery programs due to an increase in internal spending related to these programs.</w:t>
      </w:r>
    </w:p>
    <w:p>
      <w:pPr>
        <w:spacing w:after="0" w:line="17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b w:val="1"/>
          <w:bCs w:val="1"/>
          <w:i w:val="1"/>
          <w:iCs w:val="1"/>
          <w:color w:val="auto"/>
        </w:rPr>
        <w:t xml:space="preserve">General and administrative expenses. </w:t>
      </w:r>
      <w:r>
        <w:rPr>
          <w:rFonts w:ascii="Arial" w:cs="Arial" w:eastAsia="Arial" w:hAnsi="Arial"/>
          <w:sz w:val="17"/>
          <w:szCs w:val="17"/>
          <w:color w:val="auto"/>
        </w:rPr>
        <w:t>General and administrative expenses increased by $0.8 million from $2.6 million in the three months ended March 31,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2014 to $3.4 million for the same period in 2015. The increase was primarily due to increased stock-based compensation expense related to additional employee stock options and a higher value of our common stock, as well as additional expense to support our expanding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income (expense). </w:t>
      </w:r>
      <w:r>
        <w:rPr>
          <w:rFonts w:ascii="Arial" w:cs="Arial" w:eastAsia="Arial" w:hAnsi="Arial"/>
          <w:sz w:val="18"/>
          <w:szCs w:val="18"/>
          <w:color w:val="auto"/>
        </w:rPr>
        <w:t>Changes in components of other income (expense) were as follows: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The increase in interest income for the three months ended March 31, 2015, as compared to the three months ended March 31, 2014, was due</w:t>
      </w:r>
      <w:r>
        <w:rPr>
          <w:rFonts w:ascii="Arial" w:cs="Arial" w:eastAsia="Arial" w:hAnsi="Arial"/>
          <w:sz w:val="18"/>
          <w:szCs w:val="18"/>
          <w:i w:val="1"/>
          <w:iCs w:val="1"/>
          <w:color w:val="auto"/>
        </w:rPr>
        <w:t xml:space="preserve"> </w:t>
      </w:r>
      <w:r>
        <w:rPr>
          <w:rFonts w:ascii="Arial" w:cs="Arial" w:eastAsia="Arial" w:hAnsi="Arial"/>
          <w:sz w:val="18"/>
          <w:szCs w:val="18"/>
          <w:color w:val="auto"/>
        </w:rPr>
        <w:t>to higher average investment balances in the second fiscal quarter of 2015 as compared to 2014 primarily due to the receipt of $75.0 million and $50.0 million of milestone payments from AbbVie in the second fiscal quarter of 2015.</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i w:val="1"/>
          <w:iCs w:val="1"/>
          <w:color w:val="auto"/>
        </w:rPr>
        <w:t>Change in fair value of warrant liability and Series 1 nonconvertible preferred stock</w:t>
      </w:r>
      <w:r>
        <w:rPr>
          <w:rFonts w:ascii="Arial" w:cs="Arial" w:eastAsia="Arial" w:hAnsi="Arial"/>
          <w:sz w:val="18"/>
          <w:szCs w:val="18"/>
          <w:color w:val="auto"/>
        </w:rPr>
        <w:t>. During the three months ended March 31, 2015, we recorded an</w:t>
      </w:r>
      <w:r>
        <w:rPr>
          <w:rFonts w:ascii="Arial" w:cs="Arial" w:eastAsia="Arial" w:hAnsi="Arial"/>
          <w:sz w:val="18"/>
          <w:szCs w:val="18"/>
          <w:i w:val="1"/>
          <w:iCs w:val="1"/>
          <w:color w:val="auto"/>
        </w:rPr>
        <w:t xml:space="preserve"> </w:t>
      </w:r>
      <w:r>
        <w:rPr>
          <w:rFonts w:ascii="Arial" w:cs="Arial" w:eastAsia="Arial" w:hAnsi="Arial"/>
          <w:sz w:val="18"/>
          <w:szCs w:val="18"/>
          <w:color w:val="auto"/>
        </w:rPr>
        <w:t>immaterial expense due to an increase in the fair value of our warrant liability and Series 1 nonconvertible preferred stock as a result of the remeasurement of our warrant liability and Series 1 nonconvertible preferred stock.</w:t>
      </w:r>
    </w:p>
    <w:p>
      <w:pPr>
        <w:spacing w:after="0" w:line="18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b w:val="1"/>
          <w:bCs w:val="1"/>
          <w:i w:val="1"/>
          <w:iCs w:val="1"/>
          <w:color w:val="auto"/>
        </w:rPr>
        <w:t xml:space="preserve">Income tax expense. </w:t>
      </w:r>
      <w:r>
        <w:rPr>
          <w:rFonts w:ascii="Arial" w:cs="Arial" w:eastAsia="Arial" w:hAnsi="Arial"/>
          <w:sz w:val="17"/>
          <w:szCs w:val="17"/>
          <w:color w:val="auto"/>
        </w:rPr>
        <w:t>For the three months ended March 31, 2015 and March 31, 2014, we recorded an income tax provision of $20.0 million and $0,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respectively, representing an effective tax rate of 41.0% and 0.0%, respectively. The income tax provision for the three months ended March 31, 2015 was primarily attributable to the tax provision on the earnings of our domestic operations. During the three months ended March 31, 2015, the gross deferred tax assets decreased by $434 primarily as a result of the utilization of net operating losses due to income before income taxes generated during the period. No provision for income tax was recorded for the three months ended March 31, 2014, as we maintained a valuation allowance against our deferred tax assets. The valuation allowance was released during the three months ended June 30, 2014.</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Six Months Ended March 31, 2015 and 2014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2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jc w:val="center"/>
              <w:ind w:left="386"/>
              <w:spacing w:after="0"/>
              <w:rPr>
                <w:sz w:val="20"/>
                <w:szCs w:val="20"/>
                <w:color w:val="auto"/>
              </w:rPr>
            </w:pPr>
            <w:r>
              <w:rPr>
                <w:rFonts w:ascii="Arial" w:cs="Arial" w:eastAsia="Arial" w:hAnsi="Arial"/>
                <w:sz w:val="14"/>
                <w:szCs w:val="14"/>
                <w:b w:val="1"/>
                <w:bCs w:val="1"/>
                <w:color w:val="auto"/>
                <w:w w:val="99"/>
              </w:rPr>
              <w:t>March 31,</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00" w:type="dxa"/>
            <w:vAlign w:val="bottom"/>
            <w:tcBorders>
              <w:bottom w:val="single" w:sz="8" w:color="auto"/>
            </w:tcBorders>
            <w:gridSpan w:val="2"/>
          </w:tcPr>
          <w:p>
            <w:pPr>
              <w:jc w:val="right"/>
              <w:ind w:right="146"/>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5"/>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$134,865</w:t>
            </w:r>
          </w:p>
        </w:tc>
        <w:tc>
          <w:tcPr>
            <w:tcW w:w="4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$3,053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9,887</w:t>
            </w:r>
          </w:p>
        </w:tc>
        <w:tc>
          <w:tcPr>
            <w:tcW w:w="420" w:type="dxa"/>
            <w:vAlign w:val="bottom"/>
          </w:tcPr>
          <w:p>
            <w:pPr>
              <w:spacing w:after="0"/>
              <w:rPr>
                <w:sz w:val="18"/>
                <w:szCs w:val="18"/>
                <w:color w:val="auto"/>
              </w:rPr>
            </w:pPr>
          </w:p>
        </w:tc>
        <w:tc>
          <w:tcPr>
            <w:tcW w:w="500" w:type="dxa"/>
            <w:vAlign w:val="bottom"/>
            <w:gridSpan w:val="3"/>
          </w:tcPr>
          <w:p>
            <w:pPr>
              <w:jc w:val="right"/>
              <w:spacing w:after="0"/>
              <w:rPr>
                <w:sz w:val="20"/>
                <w:szCs w:val="20"/>
                <w:color w:val="auto"/>
              </w:rPr>
            </w:pPr>
            <w:r>
              <w:rPr>
                <w:rFonts w:ascii="Arial" w:cs="Arial" w:eastAsia="Arial" w:hAnsi="Arial"/>
                <w:sz w:val="18"/>
                <w:szCs w:val="18"/>
                <w:color w:val="auto"/>
              </w:rPr>
              <w:t>8,985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6,207</w:t>
            </w:r>
          </w:p>
        </w:tc>
        <w:tc>
          <w:tcPr>
            <w:tcW w:w="4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4,652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Other income (expense):</w:t>
            </w: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0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960" w:type="dxa"/>
            <w:vAlign w:val="bottom"/>
            <w:gridSpan w:val="4"/>
          </w:tcPr>
          <w:p>
            <w:pPr>
              <w:jc w:val="right"/>
              <w:ind w:right="38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fair value of warrant liability and Series 1 preferred stock</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540"/>
        </w:trPr>
        <w:tc>
          <w:tcPr>
            <w:tcW w:w="7480" w:type="dxa"/>
            <w:vAlign w:val="bottom"/>
            <w:gridSpan w:val="2"/>
          </w:tcPr>
          <w:p>
            <w:pPr>
              <w:jc w:val="right"/>
              <w:ind w:right="6690"/>
              <w:spacing w:after="0"/>
              <w:rPr>
                <w:sz w:val="20"/>
                <w:szCs w:val="20"/>
                <w:color w:val="auto"/>
              </w:rPr>
            </w:pPr>
            <w:r>
              <w:rPr>
                <w:rFonts w:ascii="Arial" w:cs="Arial" w:eastAsia="Arial" w:hAnsi="Arial"/>
                <w:sz w:val="18"/>
                <w:szCs w:val="18"/>
                <w:b w:val="1"/>
                <w:bCs w:val="1"/>
                <w:i w:val="1"/>
                <w:iCs w:val="1"/>
                <w:color w:val="auto"/>
                <w:w w:val="84"/>
              </w:rPr>
              <w:t>Revenue.</w:t>
            </w: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20" w:type="dxa"/>
            <w:vAlign w:val="bottom"/>
            <w:gridSpan w:val="7"/>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6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tcBorders>
              <w:bottom w:val="single" w:sz="8" w:color="auto"/>
            </w:tcBorders>
            <w:gridSpan w:val="4"/>
          </w:tcPr>
          <w:p>
            <w:pPr>
              <w:jc w:val="center"/>
              <w:ind w:left="346"/>
              <w:spacing w:after="0"/>
              <w:rPr>
                <w:sz w:val="20"/>
                <w:szCs w:val="20"/>
                <w:color w:val="auto"/>
              </w:rPr>
            </w:pPr>
            <w:r>
              <w:rPr>
                <w:rFonts w:ascii="Arial" w:cs="Arial" w:eastAsia="Arial" w:hAnsi="Arial"/>
                <w:sz w:val="14"/>
                <w:szCs w:val="14"/>
                <w:b w:val="1"/>
                <w:bCs w:val="1"/>
                <w:color w:val="auto"/>
                <w:w w:val="95"/>
              </w:rPr>
              <w:t>March 31,</w:t>
            </w:r>
          </w:p>
        </w:tc>
        <w:tc>
          <w:tcPr>
            <w:tcW w:w="4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860" w:type="dxa"/>
            <w:vAlign w:val="bottom"/>
            <w:gridSpan w:val="2"/>
          </w:tcPr>
          <w:p>
            <w:pPr>
              <w:spacing w:after="0"/>
              <w:rPr>
                <w:sz w:val="12"/>
                <w:szCs w:val="12"/>
                <w:color w:val="auto"/>
              </w:rPr>
            </w:pPr>
          </w:p>
        </w:tc>
        <w:tc>
          <w:tcPr>
            <w:tcW w:w="680" w:type="dxa"/>
            <w:vAlign w:val="bottom"/>
            <w:tcBorders>
              <w:bottom w:val="single" w:sz="8" w:color="auto"/>
            </w:tcBorders>
          </w:tcPr>
          <w:p>
            <w:pPr>
              <w:jc w:val="right"/>
              <w:ind w:right="126"/>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38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20" w:type="dxa"/>
            <w:vAlign w:val="bottom"/>
            <w:gridSpan w:val="6"/>
          </w:tcPr>
          <w:p>
            <w:pPr>
              <w:jc w:val="center"/>
              <w:ind w:right="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AbbVie agreement:</w:t>
            </w: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00" w:type="dxa"/>
            <w:vAlign w:val="bottom"/>
          </w:tcPr>
          <w:p>
            <w:pPr>
              <w:ind w:left="360"/>
              <w:spacing w:after="0"/>
              <w:rPr>
                <w:sz w:val="20"/>
                <w:szCs w:val="20"/>
                <w:color w:val="auto"/>
              </w:rPr>
            </w:pPr>
            <w:r>
              <w:rPr>
                <w:rFonts w:ascii="Arial" w:cs="Arial" w:eastAsia="Arial" w:hAnsi="Arial"/>
                <w:sz w:val="18"/>
                <w:szCs w:val="18"/>
                <w:color w:val="auto"/>
              </w:rPr>
              <w:t>Milestone payments</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$125,000</w:t>
            </w:r>
          </w:p>
        </w:tc>
        <w:tc>
          <w:tcPr>
            <w:tcW w:w="42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Royalties</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8,353</w:t>
            </w: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NIAID contract</w:t>
            </w:r>
          </w:p>
        </w:tc>
        <w:tc>
          <w:tcPr>
            <w:tcW w:w="860" w:type="dxa"/>
            <w:vAlign w:val="bottom"/>
            <w:gridSpan w:val="2"/>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1,512</w:t>
            </w: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8"/>
              </w:rPr>
              <w:t>3,053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134,865</w:t>
            </w:r>
          </w:p>
        </w:tc>
        <w:tc>
          <w:tcPr>
            <w:tcW w:w="42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8"/>
              </w:rPr>
              <w:t>3,053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80" w:type="dxa"/>
            <w:vAlign w:val="bottom"/>
            <w:gridSpan w:val="2"/>
            <w:vMerge w:val="restart"/>
          </w:tcPr>
          <w:p>
            <w:pPr>
              <w:jc w:val="right"/>
              <w:ind w:right="1590"/>
              <w:spacing w:after="0"/>
              <w:rPr>
                <w:sz w:val="20"/>
                <w:szCs w:val="20"/>
                <w:color w:val="auto"/>
              </w:rPr>
            </w:pPr>
            <w:r>
              <w:rPr>
                <w:rFonts w:ascii="Arial" w:cs="Arial" w:eastAsia="Arial" w:hAnsi="Arial"/>
                <w:sz w:val="18"/>
                <w:szCs w:val="18"/>
                <w:color w:val="auto"/>
              </w:rPr>
              <w:t>24</w:t>
            </w: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748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recognized revenue of $134.9 million during the six months ended March 31, 2015, as compared to $3.1 million during the six months ended March 31, 2014. During the six months ended March 31, 2015, we earned and recognized as revenue $125.0 million in milestone payments under our collaboration with AbbVie as a result of U.S. and EU regulatory approvals for AbbVie’s paritaprevir-containing regimens. We did not earn or recognize any revenue related to the AbbVie collaboration during the same period in 2014. Government contract revenue was $1.5 million and $3.1 million during the six months ended March 31, 2015 and 2014, respectively, under our contract with NIAID.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44" w:lineRule="exact"/>
        <w:rPr>
          <w:sz w:val="20"/>
          <w:szCs w:val="20"/>
          <w:color w:val="auto"/>
        </w:rPr>
      </w:pPr>
    </w:p>
    <w:p>
      <w:pPr>
        <w:jc w:val="center"/>
        <w:ind w:left="7060"/>
        <w:spacing w:after="0"/>
        <w:rPr>
          <w:sz w:val="20"/>
          <w:szCs w:val="20"/>
          <w:color w:val="auto"/>
        </w:rPr>
      </w:pPr>
      <w:r>
        <w:rPr>
          <w:rFonts w:ascii="Arial" w:cs="Arial" w:eastAsia="Arial" w:hAnsi="Arial"/>
          <w:sz w:val="14"/>
          <w:szCs w:val="14"/>
          <w:b w:val="1"/>
          <w:bCs w:val="1"/>
          <w:color w:val="auto"/>
        </w:rPr>
        <w:t>Six Months Ended</w:t>
      </w:r>
    </w:p>
    <w:p>
      <w:pPr>
        <w:jc w:val="center"/>
        <w:ind w:left="706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7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bottom w:val="single" w:sz="8" w:color="auto"/>
            </w:tcBorders>
          </w:tcPr>
          <w:p>
            <w:pPr>
              <w:jc w:val="right"/>
              <w:ind w:right="22"/>
              <w:spacing w:after="0" w:line="142" w:lineRule="exact"/>
              <w:rPr>
                <w:sz w:val="20"/>
                <w:szCs w:val="20"/>
                <w:color w:val="auto"/>
              </w:rPr>
            </w:pPr>
            <w:r>
              <w:rPr>
                <w:rFonts w:ascii="Arial" w:cs="Arial" w:eastAsia="Arial" w:hAnsi="Arial"/>
                <w:sz w:val="14"/>
                <w:szCs w:val="14"/>
                <w:b w:val="1"/>
                <w:bCs w:val="1"/>
                <w:color w:val="auto"/>
              </w:rPr>
              <w:t>2015</w:t>
            </w:r>
          </w:p>
        </w:tc>
        <w:tc>
          <w:tcPr>
            <w:tcW w:w="940" w:type="dxa"/>
            <w:vAlign w:val="bottom"/>
            <w:tcBorders>
              <w:top w:val="single" w:sz="8" w:color="auto"/>
              <w:bottom w:val="single" w:sz="8" w:color="auto"/>
            </w:tcBorders>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142"/>
        </w:trPr>
        <w:tc>
          <w:tcPr>
            <w:tcW w:w="7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3"/>
          </w:tcPr>
          <w:p>
            <w:pPr>
              <w:jc w:val="right"/>
              <w:ind w:right="190"/>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Development programs:</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140" w:type="dxa"/>
            <w:vAlign w:val="bottom"/>
          </w:tcPr>
          <w:p>
            <w:pPr>
              <w:ind w:left="360"/>
              <w:spacing w:after="0"/>
              <w:rPr>
                <w:sz w:val="20"/>
                <w:szCs w:val="20"/>
                <w:color w:val="auto"/>
              </w:rPr>
            </w:pPr>
            <w:r>
              <w:rPr>
                <w:rFonts w:ascii="Arial" w:cs="Arial" w:eastAsia="Arial" w:hAnsi="Arial"/>
                <w:sz w:val="18"/>
                <w:szCs w:val="18"/>
                <w:color w:val="auto"/>
              </w:rPr>
              <w:t>Antibiotic</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87"/>
              </w:rPr>
              <w:t>$1,134</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$2,374</w:t>
            </w:r>
          </w:p>
        </w:tc>
        <w:tc>
          <w:tcPr>
            <w:tcW w:w="100" w:type="dxa"/>
            <w:vAlign w:val="bottom"/>
          </w:tcPr>
          <w:p>
            <w:pPr>
              <w:spacing w:after="0"/>
              <w:rPr>
                <w:sz w:val="18"/>
                <w:szCs w:val="18"/>
                <w:color w:val="auto"/>
              </w:rPr>
            </w:pPr>
          </w:p>
        </w:tc>
      </w:tr>
      <w:tr>
        <w:trPr>
          <w:trHeight w:val="216"/>
        </w:trPr>
        <w:tc>
          <w:tcPr>
            <w:tcW w:w="71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drug discovery</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8,753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6,611</w:t>
            </w:r>
          </w:p>
        </w:tc>
        <w:tc>
          <w:tcPr>
            <w:tcW w:w="100" w:type="dxa"/>
            <w:vAlign w:val="bottom"/>
            <w:shd w:val="clear" w:color="auto" w:fill="CCEEFF"/>
          </w:tcPr>
          <w:p>
            <w:pPr>
              <w:spacing w:after="0"/>
              <w:rPr>
                <w:sz w:val="18"/>
                <w:szCs w:val="18"/>
                <w:color w:val="auto"/>
              </w:rPr>
            </w:pPr>
          </w:p>
        </w:tc>
      </w:tr>
      <w:tr>
        <w:trPr>
          <w:trHeight w:val="223"/>
        </w:trPr>
        <w:tc>
          <w:tcPr>
            <w:tcW w:w="7140" w:type="dxa"/>
            <w:vAlign w:val="bottom"/>
          </w:tcPr>
          <w:p>
            <w:pPr>
              <w:ind w:left="360"/>
              <w:spacing w:after="0"/>
              <w:rPr>
                <w:sz w:val="20"/>
                <w:szCs w:val="20"/>
                <w:color w:val="auto"/>
              </w:rPr>
            </w:pPr>
            <w:r>
              <w:rPr>
                <w:rFonts w:ascii="Arial" w:cs="Arial" w:eastAsia="Arial" w:hAnsi="Arial"/>
                <w:sz w:val="18"/>
                <w:szCs w:val="18"/>
                <w:color w:val="auto"/>
              </w:rPr>
              <w:t>Total research and development expenses</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9,887</w:t>
            </w:r>
          </w:p>
        </w:tc>
        <w:tc>
          <w:tcPr>
            <w:tcW w:w="44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8,985</w:t>
            </w:r>
          </w:p>
        </w:tc>
        <w:tc>
          <w:tcPr>
            <w:tcW w:w="100" w:type="dxa"/>
            <w:vAlign w:val="bottom"/>
          </w:tcPr>
          <w:p>
            <w:pPr>
              <w:spacing w:after="0"/>
              <w:rPr>
                <w:sz w:val="19"/>
                <w:szCs w:val="19"/>
                <w:color w:val="auto"/>
              </w:rPr>
            </w:pPr>
          </w:p>
        </w:tc>
      </w:tr>
      <w:tr>
        <w:trPr>
          <w:trHeight w:val="20"/>
        </w:trPr>
        <w:tc>
          <w:tcPr>
            <w:tcW w:w="7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Research and development expenses were $9.9 million in the six months ended March 31, 2015, as compared to $9.0 million for the same period in 2014. The increase of $0.9 million from 2014 to 2015 was due primarily to a $2.1 million increase in preclinical expenses for our early stage drug discovery programs partially offset by a decrease of $1.2 million in our expenses for our NIAID program. We incurred increased research expenses in our early stage drug discovery programs due to an increase in internal spending related to these programs.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were $6.2 million during the six months ended March 31, 2015 and $4.7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six months ended March 31, 2014. The increase of $1.5 million during the six months ended March 31, 2015 was related primarily to an increase in stock-based compensation expense related to amortization of additional stock option grants to employees and a higher Black-Scholes value of these options included in the later period value of our common stock as well as to an increase in insurance expense as well as additional expense to support our expanding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Other income (expense). </w:t>
      </w:r>
      <w:r>
        <w:rPr>
          <w:rFonts w:ascii="Arial" w:cs="Arial" w:eastAsia="Arial" w:hAnsi="Arial"/>
          <w:sz w:val="18"/>
          <w:szCs w:val="18"/>
          <w:color w:val="auto"/>
        </w:rPr>
        <w:t>Changes in components of other income (expense) were as follows: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i w:val="1"/>
          <w:iCs w:val="1"/>
          <w:color w:val="auto"/>
        </w:rPr>
        <w:t>Interest income</w:t>
      </w:r>
      <w:r>
        <w:rPr>
          <w:rFonts w:ascii="Arial" w:cs="Arial" w:eastAsia="Arial" w:hAnsi="Arial"/>
          <w:sz w:val="18"/>
          <w:szCs w:val="18"/>
          <w:color w:val="auto"/>
        </w:rPr>
        <w:t>. The increase in interest income for the six months ended March 31, 2015, as compared to the six months ended March 31, 2014, was due to</w:t>
      </w:r>
      <w:r>
        <w:rPr>
          <w:rFonts w:ascii="Arial" w:cs="Arial" w:eastAsia="Arial" w:hAnsi="Arial"/>
          <w:sz w:val="18"/>
          <w:szCs w:val="18"/>
          <w:i w:val="1"/>
          <w:iCs w:val="1"/>
          <w:color w:val="auto"/>
        </w:rPr>
        <w:t xml:space="preserve"> </w:t>
      </w:r>
      <w:r>
        <w:rPr>
          <w:rFonts w:ascii="Arial" w:cs="Arial" w:eastAsia="Arial" w:hAnsi="Arial"/>
          <w:sz w:val="18"/>
          <w:szCs w:val="18"/>
          <w:color w:val="auto"/>
        </w:rPr>
        <w:t>higher average investment balances in the second fiscal quarter of 2015 as compared to 2014 primarily due to the receipt of $125.0 million in milestone payments from AbbVie in the second fiscal quarter of 2015.</w:t>
      </w:r>
    </w:p>
    <w:p>
      <w:pPr>
        <w:spacing w:after="0" w:line="181"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i w:val="1"/>
          <w:iCs w:val="1"/>
          <w:color w:val="auto"/>
        </w:rPr>
        <w:t>Change in fair value of warrant liability and Series 1 nonconvertible preferred stock</w:t>
      </w:r>
      <w:r>
        <w:rPr>
          <w:rFonts w:ascii="Arial" w:cs="Arial" w:eastAsia="Arial" w:hAnsi="Arial"/>
          <w:sz w:val="16"/>
          <w:szCs w:val="16"/>
          <w:color w:val="auto"/>
        </w:rPr>
        <w:t>. We account for our outstanding warrants for our Series 1 nonconvertible</w:t>
      </w:r>
      <w:r>
        <w:rPr>
          <w:rFonts w:ascii="Arial" w:cs="Arial" w:eastAsia="Arial" w:hAnsi="Arial"/>
          <w:sz w:val="16"/>
          <w:szCs w:val="16"/>
          <w:i w:val="1"/>
          <w:iCs w:val="1"/>
          <w:color w:val="auto"/>
        </w:rPr>
        <w:t xml:space="preserve"> </w:t>
      </w:r>
      <w:r>
        <w:rPr>
          <w:rFonts w:ascii="Arial" w:cs="Arial" w:eastAsia="Arial" w:hAnsi="Arial"/>
          <w:sz w:val="16"/>
          <w:szCs w:val="16"/>
          <w:color w:val="auto"/>
        </w:rPr>
        <w:t>preferred stock and our Series 1 nonconvertible preferred stock as liabilities held at fair value, with changes in fair value recorded as a component of other income (expense). During the six months ended March 31, 2014, we recorded income due to a decrease in the fair value of our warrant liability during the six months ended March 31, 2014 due to the remeasurement of the fair value of warrants for Series 1 nonconvertible preferred stock. During the six months ended March 31, 2015 we recorded an expense of $0.2 million due to an increase in the fair value of our warrant liability and Series 1 nonconvertible preferred stock. In February 2014, 225,408 warrants were exercised resulting in net issuance of 223,153 shares of Series 1 nonconvertible preferred stock.</w:t>
      </w:r>
    </w:p>
    <w:p>
      <w:pPr>
        <w:spacing w:after="0" w:line="165"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i w:val="1"/>
          <w:iCs w:val="1"/>
          <w:color w:val="auto"/>
        </w:rPr>
        <w:t xml:space="preserve">Income tax expense. </w:t>
      </w:r>
      <w:r>
        <w:rPr>
          <w:rFonts w:ascii="Arial" w:cs="Arial" w:eastAsia="Arial" w:hAnsi="Arial"/>
          <w:sz w:val="17"/>
          <w:szCs w:val="17"/>
          <w:color w:val="auto"/>
        </w:rPr>
        <w:t>For the six months ended March 31, 2015 and March 31, 2014, we recorded income tax provisions of $48.5 million and $0, respectively,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representing effective tax rates of 41.0% and 0.0%, respectively. The income tax provision for the six months ended March 31, 2015 was primarily attributable to the tax provision on the earnings of our operations, all of which are domestic. During the six months ended March 31, 2015, the gross deferred tax assets decreased by $10,002 primarily as a result of the utilization of net operating losses due to income before income taxes generated during the period. No provision for income tax was recorded for the six months ended March 31, 2014, as we maintained a valuation allowance against our deferred tax assets. The valuation allowance was released during the three months ended June 30, 2014.</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At March 31, 2015, our principal sources of liquidity were cash, cash equivalents and short-term and long-term marketable securities totaling $226.8 million.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During the six months ended March 31, 2015, we generated $93.3 million in cash from our operating activities. The following table shows a summary of our cash flows for the six months ended March 31, 2015 and 2014.</w:t>
      </w:r>
    </w:p>
    <w:p>
      <w:pPr>
        <w:spacing w:after="0" w:line="177"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3"/>
              </w:rPr>
              <w:t>Six Months Ended</w:t>
            </w:r>
          </w:p>
        </w:tc>
      </w:tr>
      <w:tr>
        <w:trPr>
          <w:trHeight w:val="171"/>
        </w:trPr>
        <w:tc>
          <w:tcPr>
            <w:tcW w:w="436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jc w:val="center"/>
              <w:ind w:left="400"/>
              <w:spacing w:after="0"/>
              <w:rPr>
                <w:sz w:val="20"/>
                <w:szCs w:val="20"/>
                <w:color w:val="auto"/>
              </w:rPr>
            </w:pPr>
            <w:r>
              <w:rPr>
                <w:rFonts w:ascii="Arial" w:cs="Arial" w:eastAsia="Arial" w:hAnsi="Arial"/>
                <w:sz w:val="14"/>
                <w:szCs w:val="14"/>
                <w:b w:val="1"/>
                <w:bCs w:val="1"/>
                <w:color w:val="auto"/>
                <w:w w:val="99"/>
              </w:rPr>
              <w:t>March 31,</w:t>
            </w: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400"/>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r>
      <w:tr>
        <w:trPr>
          <w:trHeight w:val="142"/>
        </w:trPr>
        <w:tc>
          <w:tcPr>
            <w:tcW w:w="43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6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2"/>
                <w:szCs w:val="12"/>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(used in):</w:t>
            </w:r>
          </w:p>
        </w:tc>
        <w:tc>
          <w:tcPr>
            <w:tcW w:w="2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360" w:type="dxa"/>
            <w:vAlign w:val="bottom"/>
          </w:tcPr>
          <w:p>
            <w:pPr>
              <w:ind w:left="360"/>
              <w:spacing w:after="0"/>
              <w:rPr>
                <w:sz w:val="20"/>
                <w:szCs w:val="20"/>
                <w:color w:val="auto"/>
              </w:rPr>
            </w:pPr>
            <w:r>
              <w:rPr>
                <w:rFonts w:ascii="Arial" w:cs="Arial" w:eastAsia="Arial" w:hAnsi="Arial"/>
                <w:sz w:val="18"/>
                <w:szCs w:val="18"/>
                <w:color w:val="auto"/>
              </w:rPr>
              <w:t>Operating activities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60"/>
              <w:spacing w:after="0"/>
              <w:rPr>
                <w:sz w:val="20"/>
                <w:szCs w:val="20"/>
                <w:color w:val="auto"/>
              </w:rPr>
            </w:pPr>
            <w:r>
              <w:rPr>
                <w:rFonts w:ascii="Arial" w:cs="Arial" w:eastAsia="Arial" w:hAnsi="Arial"/>
                <w:sz w:val="18"/>
                <w:szCs w:val="18"/>
                <w:color w:val="auto"/>
              </w:rPr>
              <w:t>93,251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89"/>
              </w:rPr>
              <w:t>(10,001)</w:t>
            </w:r>
          </w:p>
        </w:tc>
      </w:tr>
      <w:tr>
        <w:trPr>
          <w:trHeight w:val="216"/>
        </w:trPr>
        <w:tc>
          <w:tcPr>
            <w:tcW w:w="4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Investing activities</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100"/>
              <w:spacing w:after="0"/>
              <w:rPr>
                <w:sz w:val="20"/>
                <w:szCs w:val="20"/>
                <w:color w:val="auto"/>
              </w:rPr>
            </w:pPr>
            <w:r>
              <w:rPr>
                <w:rFonts w:ascii="Arial" w:cs="Arial" w:eastAsia="Arial" w:hAnsi="Arial"/>
                <w:sz w:val="18"/>
                <w:szCs w:val="18"/>
                <w:color w:val="auto"/>
                <w:w w:val="90"/>
              </w:rPr>
              <w:t>(100,458)</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18,597</w:t>
            </w:r>
          </w:p>
        </w:tc>
        <w:tc>
          <w:tcPr>
            <w:tcW w:w="120" w:type="dxa"/>
            <w:vAlign w:val="bottom"/>
            <w:shd w:val="clear" w:color="auto" w:fill="CCEEFF"/>
          </w:tcPr>
          <w:p>
            <w:pPr>
              <w:spacing w:after="0"/>
              <w:rPr>
                <w:sz w:val="18"/>
                <w:szCs w:val="18"/>
                <w:color w:val="auto"/>
              </w:rPr>
            </w:pPr>
          </w:p>
        </w:tc>
      </w:tr>
      <w:tr>
        <w:trPr>
          <w:trHeight w:val="230"/>
        </w:trPr>
        <w:tc>
          <w:tcPr>
            <w:tcW w:w="4360" w:type="dxa"/>
            <w:vAlign w:val="bottom"/>
          </w:tcPr>
          <w:p>
            <w:pPr>
              <w:ind w:left="360"/>
              <w:spacing w:after="0"/>
              <w:rPr>
                <w:sz w:val="20"/>
                <w:szCs w:val="20"/>
                <w:color w:val="auto"/>
              </w:rPr>
            </w:pPr>
            <w:r>
              <w:rPr>
                <w:rFonts w:ascii="Arial" w:cs="Arial" w:eastAsia="Arial" w:hAnsi="Arial"/>
                <w:sz w:val="18"/>
                <w:szCs w:val="18"/>
                <w:color w:val="auto"/>
              </w:rPr>
              <w:t>Financing activities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60"/>
              <w:spacing w:after="0"/>
              <w:rPr>
                <w:sz w:val="20"/>
                <w:szCs w:val="20"/>
                <w:color w:val="auto"/>
              </w:rPr>
            </w:pPr>
            <w:r>
              <w:rPr>
                <w:rFonts w:ascii="Arial" w:cs="Arial" w:eastAsia="Arial" w:hAnsi="Arial"/>
                <w:sz w:val="18"/>
                <w:szCs w:val="18"/>
                <w:color w:val="auto"/>
              </w:rPr>
              <w:t>2,259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0"/>
                <w:szCs w:val="20"/>
                <w:color w:val="auto"/>
              </w:rPr>
            </w:pP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operating activities</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During the six months ended March 31, 2015, operating activities provided $93.3 million of cash. Cash provided by operating activities primarily resulted from our net income of $70.8 million and net non-cash charges of $11.9 million, partially offset by the net change in operating assets and liabilities of $10.4 million. Our net income in the period was primarily due to normal operating expenses and revenue consisting of $125.0 million in milestone payments received and $8.4 million in royalties from AbbVie and $1.5 million of reimbursement under our NIAID contract. Our net non-cash charges in the period primarily consisted of change in deferred tax assets of $11.9 million, $2.5 million of stock-based compensation expense and $1.0 million related to amortization of the premium on our marketable securities, which were partially offset by $1.9 million income tax benefit from exercise of stock options and premium on marketable securities of $1.6 million. The $4.1 million increase in accounts receivable and unbilled receivables was due to timing of our billings under the NIAID contract and royalty payments from AbbVie. The $14.5 million increase in accrued taxes payable is a result of the current tax provision on pretax income during the period offset by the use of deferred tax assets. The $0.5 million increase in accounts payable and accrued expenses was primarily due to the timing of payments made by us to vendors.</w:t>
      </w:r>
    </w:p>
    <w:p>
      <w:pPr>
        <w:spacing w:after="0" w:line="17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During the six months ended March 31, 2014, operating activities used $10.0 million of cash primarily due to our net loss of $10.6 million and net uses of cash of $1.6 million from changes in our operating assets and liabilities. Our net loss in the period was primarily due to normal operating activities. Net uses of cash from changes in our operating assets and liabilities during the six months ended March 31, 2014 consisted primarily of a $1.0 million increase in accounts receivable and unbilled receivables as well as a $0.3 million increase in prepaid expenses and other current assets offset by stock-based compensation of $1.1 million and amortization of premium on marketable securities of $1.2 million. The increase in accounts receivable and unbilled receivables was due to the timing of our billings under the NIAID contract.</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(used in) investing activities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During the six months ended March 31, 2015, net cash used in investing activities was $100.5 million. Net cash used in investing activities during the period consisted primarily of $135.8 million used to purchase marketable securities offset by cash received from sales of marketable securities of $2.2 million and from maturities of marketable securities of $33.7 million.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six months ended March 31, 2014, net cash provided by investing activities was $18.6 million. Net cash provided by investing activities during the period consisted primarily of $35.9 million and $7.4 million of cash provided by maturities and sales, respectively, of marketable securities, partially offset by $24.6 million of cash used to purchase marketable securities.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Net cash provided by financing activities during the six months ended March 31, 2015 was $2.3 million and consisted of income tax benefit from exercise of stock options of $1.9 million and proceeds from exercise of stock options of $0.3 million.</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financing activities during the six months ended March 31, 2014 consisted of proceeds received from the exercise of stock options.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As of March 31, 2015, we had $226.8 million in cash, cash equivalents and short-term and long-term marketable securities. We believe that our existing cash, cash equivalents and marketable securities as of March 31, 2015, will be sufficient to meet our anticipated cash requirements for the forseeable future. However, our forecast of the period of time through which our financial resources will be adequate to support our operations is a forward-looking statement that involves risks and uncertainties, and actual results could vary materially.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are difficult to forecast and will depend on many factors, including:</w:t>
      </w:r>
    </w:p>
    <w:p>
      <w:pPr>
        <w:spacing w:after="0" w:line="131" w:lineRule="exact"/>
        <w:rPr>
          <w:sz w:val="20"/>
          <w:szCs w:val="20"/>
          <w:color w:val="auto"/>
        </w:rPr>
      </w:pPr>
    </w:p>
    <w:p>
      <w:pPr>
        <w:ind w:left="1460" w:hanging="547"/>
        <w:spacing w:after="0"/>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number and characteristics of the future product candidates we pursue;</w:t>
      </w:r>
    </w:p>
    <w:p>
      <w:pPr>
        <w:spacing w:after="0" w:line="130" w:lineRule="exact"/>
        <w:rPr>
          <w:rFonts w:ascii="Arial" w:cs="Arial" w:eastAsia="Arial" w:hAnsi="Arial"/>
          <w:sz w:val="18"/>
          <w:szCs w:val="18"/>
          <w:color w:val="auto"/>
        </w:rPr>
      </w:pPr>
    </w:p>
    <w:p>
      <w:pPr>
        <w:ind w:left="1460" w:right="360" w:hanging="547"/>
        <w:spacing w:after="0" w:line="277" w:lineRule="auto"/>
        <w:tabs>
          <w:tab w:leader="none" w:pos="1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future product candidates on our own, and conducting preclinical research and clinical trials;</w:t>
      </w:r>
    </w:p>
    <w:p>
      <w:pPr>
        <w:sectPr>
          <w:pgSz w:w="11900" w:h="16838" w:orient="portrait"/>
          <w:cols w:equalWidth="0" w:num="1">
            <w:col w:w="11400"/>
          </w:cols>
          <w:pgMar w:left="240" w:top="459" w:right="259" w:bottom="1440" w:gutter="0" w:footer="0" w:header="0"/>
        </w:sectPr>
      </w:pP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00"/>
          </w:cols>
          <w:pgMar w:left="240" w:top="459" w:right="259" w:bottom="1440" w:gutter="0" w:footer="0" w:header="0"/>
          <w:type w:val="continuous"/>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we in-license or otherwise acquire additional assets for development;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whether our existing collaboration generates significant royalties and potential milestone payments to us;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regulatory approvals for any future product candidates we develop independently;</w:t>
      </w:r>
    </w:p>
    <w:p>
      <w:pPr>
        <w:spacing w:after="0" w:line="142" w:lineRule="exact"/>
        <w:rPr>
          <w:rFonts w:ascii="Arial" w:cs="Arial" w:eastAsia="Arial" w:hAnsi="Arial"/>
          <w:sz w:val="17"/>
          <w:szCs w:val="17"/>
          <w:color w:val="auto"/>
        </w:rPr>
      </w:pPr>
    </w:p>
    <w:p>
      <w:pPr>
        <w:ind w:left="1460" w:right="360" w:hanging="547"/>
        <w:spacing w:after="0" w:line="277" w:lineRule="auto"/>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any future product candidates we develop independently that are approved for sale, including marketing, sales and distribution costs;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of manufacturing our future product candidates and any products we successfully commercialize independently;</w:t>
      </w:r>
    </w:p>
    <w:p>
      <w:pPr>
        <w:spacing w:after="0" w:line="130" w:lineRule="exact"/>
        <w:rPr>
          <w:rFonts w:ascii="Arial" w:cs="Arial" w:eastAsia="Arial" w:hAnsi="Arial"/>
          <w:sz w:val="18"/>
          <w:szCs w:val="18"/>
          <w:color w:val="auto"/>
        </w:rPr>
      </w:pPr>
    </w:p>
    <w:p>
      <w:pPr>
        <w:ind w:left="1460" w:right="40" w:hanging="547"/>
        <w:spacing w:after="0" w:line="277" w:lineRule="auto"/>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existing collaborations and to establish new collaborations, licensing or other arrangements and the financial terms of such agreements;</w:t>
      </w:r>
    </w:p>
    <w:p>
      <w:pPr>
        <w:spacing w:after="0" w:line="75" w:lineRule="exact"/>
        <w:rPr>
          <w:rFonts w:ascii="Arial" w:cs="Arial" w:eastAsia="Arial" w:hAnsi="Arial"/>
          <w:sz w:val="18"/>
          <w:szCs w:val="18"/>
          <w:color w:val="auto"/>
        </w:rPr>
      </w:pPr>
    </w:p>
    <w:p>
      <w:pPr>
        <w:ind w:left="1460" w:right="540" w:hanging="547"/>
        <w:spacing w:after="0" w:line="277" w:lineRule="auto"/>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litigation costs and the outcome of such litigation;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receipt and amount of sales of, or royalties on, paritaprevir, ABT-493 and our future product candidates, if any.</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do not engage in any off-balance sheet financing activities. We do not have any interest in entities referred to as variable interest entities, which include special purpose entities and other structured finance entities.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21"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In our Annual Report on Form 10-K for the year ended September 30, 2014, Part II, Item 7, Management’s Discussion and Analysis of Financial Conditions and Results of Operations, under the heading “Contractual Obligations and Commitments”, we have described our commitments and contingencies. There were no material changes in our commitments and contingencies during the six months ended March 31, 2015 except for those related to our amended lease agreement as disclosed in Note 11 to our consolidated financial statements included in this Quarterly Report on Form 10-Q.</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for operating leases as of March 31, 2015 are as follows: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1660" w:type="dxa"/>
            <w:vAlign w:val="bottom"/>
            <w:gridSpan w:val="2"/>
          </w:tcPr>
          <w:p>
            <w:pPr>
              <w:spacing w:after="0"/>
              <w:rPr>
                <w:sz w:val="20"/>
                <w:szCs w:val="20"/>
                <w:color w:val="auto"/>
              </w:rPr>
            </w:pPr>
            <w:r>
              <w:rPr>
                <w:rFonts w:ascii="Arial" w:cs="Arial" w:eastAsia="Arial" w:hAnsi="Arial"/>
                <w:sz w:val="14"/>
                <w:szCs w:val="14"/>
                <w:b w:val="1"/>
                <w:bCs w:val="1"/>
                <w:color w:val="auto"/>
                <w:w w:val="91"/>
              </w:rPr>
              <w:t>Year ending September 30,</w:t>
            </w:r>
          </w:p>
        </w:tc>
        <w:tc>
          <w:tcPr>
            <w:tcW w:w="5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16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2015</w:t>
            </w:r>
          </w:p>
        </w:tc>
        <w:tc>
          <w:tcPr>
            <w:tcW w:w="5440" w:type="dxa"/>
            <w:vAlign w:val="bottom"/>
            <w:tcBorders>
              <w:top w:val="single" w:sz="8" w:color="CCEEFF"/>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5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637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2016</w:t>
            </w:r>
          </w:p>
        </w:tc>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1,958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5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2018</w:t>
            </w:r>
          </w:p>
        </w:tc>
        <w:tc>
          <w:tcPr>
            <w:tcW w:w="5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5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640" w:type="dxa"/>
            <w:vAlign w:val="bottom"/>
          </w:tcPr>
          <w:p>
            <w:pPr>
              <w:spacing w:after="0"/>
              <w:rPr>
                <w:sz w:val="20"/>
                <w:szCs w:val="20"/>
                <w:color w:val="auto"/>
              </w:rPr>
            </w:pPr>
            <w:r>
              <w:rPr>
                <w:rFonts w:ascii="Arial" w:cs="Arial" w:eastAsia="Arial" w:hAnsi="Arial"/>
                <w:sz w:val="18"/>
                <w:szCs w:val="18"/>
                <w:color w:val="auto"/>
              </w:rPr>
              <w:t>Thereafter</w:t>
            </w:r>
          </w:p>
        </w:tc>
        <w:tc>
          <w:tcPr>
            <w:tcW w:w="5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5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15,277</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 xml:space="preserve">In May, 2014, the Financial Accounting Standards Board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(Topic 606), which supersedes all existing revenue recognition requirements, including most industry-specific guidance. The new standard requires a company to recognize revenue when it transfers goods or services to customers in an amount that reflects the consideration that the company expects to receive for those goods or services. The new standard will be effective for us on October 1, 2017; however, there is a pending proposal to delay the effective period by one year. We are currently evaluating the potential impact that Topic 606 may have on our financial position and results of operations.</w:t>
      </w:r>
    </w:p>
    <w:p>
      <w:pPr>
        <w:spacing w:after="0" w:line="30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Sensitivity</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We had cash, cash equivalents and short-term and long-term marketable securities of $226.8 million at March 31, 2015, which consisted of cash, money market funds, commercial paper, corporate bonds and government securities. Interest income is sensitive to changes in the general level of interest rates; however, due to the nature of these investments, we do not believe that we have any material exposure to changes in the fair value of our investment portfolio as a result of changes in interest rates. We had no debt outstanding as of March 31, 2015.</w:t>
      </w:r>
    </w:p>
    <w:p>
      <w:pPr>
        <w:spacing w:after="0" w:line="3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ind w:left="200" w:hanging="192"/>
        <w:spacing w:after="0"/>
        <w:tabs>
          <w:tab w:leader="none" w:pos="20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Conclusion Regarding the Effectiveness of Disclosure Controls and Procedures.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management, with the participation of the principal executive officer and principal financial officer, has evaluated the effectiveness of the design and operation of our disclosure controls and procedures (as defined in Rules 13a-15(e) and 15d-15(e) under the Securities Exchange Act of 1934, as amended (the “Exchange Act”)) as of the end of the period covered by this quarterly report. Based on this evaluation, the principal executive officer and principal financial officer concluded that these disclosure controls and procedures are effective and designed to ensure that the information required to be disclosed in our reports filed or submitted under the Exchange Act is recorded, processed, summarized and reported within the requisite time periods.</w:t>
      </w:r>
    </w:p>
    <w:p>
      <w:pPr>
        <w:sectPr>
          <w:pgSz w:w="11900" w:h="16838" w:orient="portrait"/>
          <w:cols w:equalWidth="0" w:num="1">
            <w:col w:w="11420"/>
          </w:cols>
          <w:pgMar w:left="240" w:top="459" w:right="239" w:bottom="1014" w:gutter="0" w:footer="0" w:header="0"/>
        </w:sectPr>
      </w:pPr>
    </w:p>
    <w:p>
      <w:pPr>
        <w:spacing w:after="0" w:line="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459" w:right="239" w:bottom="1014" w:gutter="0" w:footer="0" w:header="0"/>
          <w:type w:val="continuous"/>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00" w:hanging="192"/>
        <w:spacing w:after="0"/>
        <w:tabs>
          <w:tab w:leader="none" w:pos="2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There was no change in our internal control over financial reporting (as defined in Rules 13a-15(f) and 15d-15(f) under the Exchange Act) identified in connection with the evaluation of our internal control performed during the last fiscal quarter that has materially affected, or is reasonably likely to materially affect, our internal control over financial reporting.</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i w:val="1"/>
          <w:iCs w:val="1"/>
          <w:color w:val="auto"/>
        </w:rPr>
        <w:t>Our business faces significant risks and uncertainties. Certain factors may have a material adverse effect on our business prospects, financial condition and results of operations, and you should carefully consider them. Accordingly, in evaluating our business, we encourage you to consider the following discussion of risk factors, in its entirety, in addition to other information contained in or incorporated by reference into this Quarterly Report on Form 10-Q and our other public filings with the SEC. Other events that we do not currently anticipate or that we currently deem immaterial may also affect our business, prospects, financial condition and results of operations.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b w:val="1"/>
          <w:bCs w:val="1"/>
          <w:i w:val="1"/>
          <w:iCs w:val="1"/>
          <w:color w:val="auto"/>
        </w:rPr>
        <w:t>Our financial prospects for the next several years are substantially dependent upon the development and commercialization efforts of AbbVie for combination therapies incorporating paritaprevir (formerly ABT-450) or ABT-493 for the treatment of HCV. AbbVie may act in its best interest rather than in our best interest, which could adversely affect our business.</w:t>
      </w:r>
    </w:p>
    <w:p>
      <w:pPr>
        <w:spacing w:after="0" w:line="18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rely on AbbVie to fund and conduct the clinical development and commercialization of paritaprevir, ABT-493 (a next-generation protease inhibitor in clinical development) and any other protease inhibitors we develop, over which AbbVie has complete control. Our ability to generate significant revenue in the near term will depend primarily on the successful development, regulatory approval, marketing and commercialization by AbbVie of combination therapies incorporating paritaprevir or ABT-493. Such success is subject to significant uncertainty, and we have no control over the resources, time and effort that AbbVie may devote to paritaprevir or ABT-493. Any of several events or factors could have a material adverse effect on our ability to generate revenue from AbbVie’s potential commercialization of paritaprevir or ABT-493 in combination therapies. For example, AbbVie:</w:t>
      </w:r>
    </w:p>
    <w:p>
      <w:pPr>
        <w:spacing w:after="0" w:line="84" w:lineRule="exact"/>
        <w:rPr>
          <w:sz w:val="20"/>
          <w:szCs w:val="20"/>
          <w:color w:val="auto"/>
        </w:rPr>
      </w:pPr>
    </w:p>
    <w:p>
      <w:pPr>
        <w:ind w:left="1460" w:right="820" w:hanging="547"/>
        <w:spacing w:after="0" w:line="277" w:lineRule="auto"/>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not achieve satisfactory levels of market acceptance and reimbursement by physicians, patients and third-party payors for combination therapies incorporating one of our protease inhibitor product candidates;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not compete successfully with any such combination therapies against alternative products and therapies for HCV;</w:t>
      </w:r>
    </w:p>
    <w:p>
      <w:pPr>
        <w:spacing w:after="0" w:line="130" w:lineRule="exact"/>
        <w:rPr>
          <w:rFonts w:ascii="Arial" w:cs="Arial" w:eastAsia="Arial" w:hAnsi="Arial"/>
          <w:sz w:val="18"/>
          <w:szCs w:val="18"/>
          <w:color w:val="auto"/>
        </w:rPr>
      </w:pPr>
    </w:p>
    <w:p>
      <w:pPr>
        <w:ind w:left="1460" w:right="140" w:hanging="547"/>
        <w:spacing w:after="0" w:line="277" w:lineRule="auto"/>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have to comply with additional requests and recommendations from the FDA, including additional clinical trials for paritaprevir or ABT-493;</w:t>
      </w:r>
    </w:p>
    <w:p>
      <w:pPr>
        <w:spacing w:after="0" w:line="75" w:lineRule="exact"/>
        <w:rPr>
          <w:rFonts w:ascii="Arial" w:cs="Arial" w:eastAsia="Arial" w:hAnsi="Arial"/>
          <w:sz w:val="18"/>
          <w:szCs w:val="18"/>
          <w:color w:val="auto"/>
        </w:rPr>
      </w:pPr>
    </w:p>
    <w:p>
      <w:pPr>
        <w:ind w:left="1460" w:right="400" w:hanging="547"/>
        <w:spacing w:after="0" w:line="277" w:lineRule="auto"/>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not make all regulatory filings and obtain all necessary approvals from the FDA and similar foreign regulatory agencies and all necessary reimbursement approvals;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be unable to successfully complete the clinical development of an ABT-493-containing regimen;</w:t>
      </w:r>
    </w:p>
    <w:p>
      <w:pPr>
        <w:spacing w:after="0" w:line="130" w:lineRule="exact"/>
        <w:rPr>
          <w:rFonts w:ascii="Arial" w:cs="Arial" w:eastAsia="Arial" w:hAnsi="Arial"/>
          <w:sz w:val="18"/>
          <w:szCs w:val="18"/>
          <w:color w:val="auto"/>
        </w:rPr>
      </w:pPr>
    </w:p>
    <w:p>
      <w:pPr>
        <w:ind w:left="1460" w:right="380" w:hanging="547"/>
        <w:spacing w:after="0" w:line="264" w:lineRule="auto"/>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not commit sufficient resources to the development or regulatory approval of ABT-493 or to the marketing and distribution of a regimen containing paritaprevir or ABT-493, whether for competitive or strategic reasons or otherwise due to a change in business priorities;</w:t>
      </w:r>
    </w:p>
    <w:p>
      <w:pPr>
        <w:spacing w:after="0" w:line="86"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cease to perform its obligations under the terms of our collaboration agreement;</w:t>
      </w:r>
    </w:p>
    <w:p>
      <w:pPr>
        <w:spacing w:after="0" w:line="130" w:lineRule="exact"/>
        <w:rPr>
          <w:rFonts w:ascii="Arial" w:cs="Arial" w:eastAsia="Arial" w:hAnsi="Arial"/>
          <w:sz w:val="18"/>
          <w:szCs w:val="18"/>
          <w:color w:val="auto"/>
        </w:rPr>
      </w:pPr>
    </w:p>
    <w:p>
      <w:pPr>
        <w:ind w:left="1460" w:right="40" w:hanging="547"/>
        <w:spacing w:after="0" w:line="277" w:lineRule="auto"/>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unilaterally terminate our collaboration agreement on specified prior notice without any reason and without any further commitment to continue development of any of our product candidates;</w:t>
      </w:r>
    </w:p>
    <w:p>
      <w:pPr>
        <w:spacing w:after="0" w:line="75" w:lineRule="exact"/>
        <w:rPr>
          <w:rFonts w:ascii="Arial" w:cs="Arial" w:eastAsia="Arial" w:hAnsi="Arial"/>
          <w:sz w:val="18"/>
          <w:szCs w:val="18"/>
          <w:color w:val="auto"/>
        </w:rPr>
      </w:pPr>
    </w:p>
    <w:p>
      <w:pPr>
        <w:ind w:left="1460" w:right="480" w:hanging="547"/>
        <w:spacing w:after="0" w:line="277" w:lineRule="auto"/>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not be able to manufacture our product candidates in compliance with requirements of the FDA and similar foreign regulatory agencies and in commercial quantities sufficient to meet market demand;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may independently develop products that compete with our product candidate in the treatment of HCV.</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We do not have access to all information regarding the products being developed and potentially commercialized by AbbVie, including information about clinical trial design and execution, safety reports from clinical trials, spontaneous safety reports for any marketed product, regulatory affairs, process development, manufacturing, marketing, sales and other areas known by AbbVie. Thus, our ability to keep our stockholders informed about the status of products and product candidates under our collaboration will be limited by the degree to which AbbVie keeps us informed. If AbbVie does not perform in the manner we expect or fulfill its responsibilities in a timely manner, or at all, the clinical development, regulatory approval and commercialization efforts related to paritaprevir or ABT-493 could be delayed or terminated or be commercially unsuccessful. In addition, AbbVie has the right to make decisions regarding the development and commercialization of product candidates without consulting us, and may make decisions with which we do not agree. Conflicts between us and AbbVie may arise if there is a dispute about the progress of the clinical development of a product candidate, the achievement and payment of a milestone amount, the relative values allocated to the pharmaceutically active ingredients, or the ownership of intellectual property developed during the course of our collaboration agreement. If AbbVie acts in a manner that is not in our best interest, then it could adversely affect our business and prospects.</w:t>
      </w:r>
    </w:p>
    <w:p>
      <w:pPr>
        <w:sectPr>
          <w:pgSz w:w="11900" w:h="16838" w:orient="portrait"/>
          <w:cols w:equalWidth="0" w:num="1">
            <w:col w:w="11380"/>
          </w:cols>
          <w:pgMar w:left="240" w:top="459" w:right="279" w:bottom="1440" w:gutter="0" w:footer="0" w:header="0"/>
        </w:sectPr>
      </w:pPr>
    </w:p>
    <w:p>
      <w:pPr>
        <w:spacing w:after="0" w:line="12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380"/>
          </w:cols>
          <w:pgMar w:left="240" w:top="459" w:right="279" w:bottom="1440" w:gutter="0" w:footer="0" w:header="0"/>
          <w:type w:val="continuous"/>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b w:val="1"/>
          <w:bCs w:val="1"/>
          <w:i w:val="1"/>
          <w:iCs w:val="1"/>
          <w:color w:val="auto"/>
        </w:rPr>
        <w:t>We and AbbVie face substantial competition in the markets for HCV drugs, and there are many companies developing potential therapies for non-alcoholic steatohepatitis (“NASH”), as well as other liver and viral diseases, which may result in others discovering, developing or commercializing products before ours or doing so more successfully than we or our collaborators.</w:t>
      </w:r>
    </w:p>
    <w:p>
      <w:pPr>
        <w:spacing w:after="0" w:line="18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pharmaceutical and biotechnology industries are intensely competitive and rapidly changing. Many large pharmaceutical and biotechnology companies, academic institutions, governmental agencies and other public and private research organizations are commercializing or pursuing the development of products that target HCV, NASH and other infectious diseases or liver diseases that we may target in the future.</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Many of our competitors have substantially greater commercial infrastructure and greater financial, technical and personnel resources than we have, as well as drug candidates in late-stage clinical development.</w:t>
      </w:r>
    </w:p>
    <w:p>
      <w:pPr>
        <w:spacing w:after="0" w:line="17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competitors may succeed in developing competing products and obtaining regulatory approval before we or our collaborator does with our product candidates, or they may gain acceptance for the same markets that we are targeting. If we are not “first to market” with one of our product candidates in one or more disease indications, our competitive position could be compromised because it may be more difficult for us to obtain marketing approval for that product candidate and successfully market that product candidate as a second competitor. In addition, any new product that competes with an approved product must demonstrate compelling advantages in efficacy, convenience, tolerability and safety in order to overcome price competition and to be commercially successful.</w:t>
      </w:r>
    </w:p>
    <w:p>
      <w:pPr>
        <w:spacing w:after="0" w:line="193"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We expect our current and future product candidates to face intense and increasing competition as new products enter the HCV and antiviral markets and advanced technologies become available, particularly in the case of HCV in combinations with existing products and other new products. First generation protease inhibitors, Incivek™ (telaprevir) of Vertex and Victrelis™ (boceprevir) of Merck, were approved in 2011 by the FDA for the treatment of HCV in combination with interferon and ribavirin, which in combination were the previous standard of care. However, by mid-2014 Vertex informed health care providers that it would discontinue the sale and distribution of Incivek in the U.S. by October 16, 2014, noting competing treatments and diminishing market demand. Merck made a similar announcement regarding Victrelis in January 2015. A third protease inhibitor, simeprevir (Olysio™) from Janssen Therapeutics was approved by the FDA in November 2013 for use in genotype 1 HCV patients only when used in combination with pegylated interferon and ribavirin. The evolving competitive landscape in HCV intensified in December 2013, when the FDA approved sofosbuvir (Sovaldi™), a nucleotide analogue inhibitor of the HCV NS5B polymerase enzyme from Gilead for patients with genotype 2 or 3 HCV and no requirement for interferon (also approved for patients with genotypes 1 or 4 when combined with pegylated interferon and ribavirin). On July 9, 2014, Bristol-Myers Squibb gained approval in Japan for the NS5A/protease inhibitor combination daclatasvir/asunaprevir. In October 2014 the FDA approved Gilead’s interferon-free Harvoni™, a combination of sofosbuvir and ledipasvir (a NS5A inhibitor) for patients with genotype 1 HCV. Also in November 2014 the FDA approved an interferon-free combination therapy of simeprevir and sofusbuvir for genotype 1 HCV patients. In December 2014, our paritaprevir-containing regimen from AbbVie was approved by the FDA as well. Other all-oral treatment regimens are under development and may obtain regulatory approvals in other settings for the treatment of HCV. These other potential new treatment regimens may render our HCV product candidates noncompetitive. In particular, regimens containing our HCV product candidates may not be able to compete successfully with other products and regimens in development involving multiple classes of inhibitors of HCV, including protease inhibitors, polymerase inhibitors (nucleoside and non-nucleoside), NS5A inhibitors, cyclophilin inhibitors and others, under development by companies such as Achillion, Bristol-Myers Squibb, Gilead, Johnson &amp; Johnson, Medivir, Merck, Presidio, Regulus and Roche and Theravance Biopharma, as well as by our collaborator AbbVie.</w:t>
      </w:r>
    </w:p>
    <w:p>
      <w:pPr>
        <w:spacing w:after="0" w:line="19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Competitive products in the form of other treatment methods or a vaccine for HCV may render our product candidates licensed to others, as well as any future product candidates we may develop ourselves, obsolete or noncompetitive. Even if successfully developed and subsequently approved by the FDA, our product candidates will face competition based on their safety and effectiveness, the timing and scope of the regulatory approvals, the availability and cost of supply, marketing and sales capabilities, reimbursement coverage, price, patent position and other factors. If the product candidates developed under our collaboration agreement with AbbVie face competition from generic products, the collaboration agreement provides that the royalty rate applicable to such product candidates is reduced significantly by a specified percentage on a product-by-product, country-by-country basis. If we and our collaborator are not able to compete effectively against our current and future competitors, our business will not grow and our financial condition, operations and stock price will suffer.</w:t>
      </w:r>
    </w:p>
    <w:p>
      <w:pPr>
        <w:spacing w:after="0" w:line="19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Though there is currently no approved treatment for NASH, we expect significant competition from other companies in the development of new treatments for NASH and related conditions. We are aware of several companies with programs that are significantly more advanced than ours, including companies with compounds in Phase 2 or later stage clinical trials for NASH or related conditions. These companies include Alberio, Conatus, Galectin, Galmed, Genfit, Gilead, GSK, Intercept, NGM, Raptor, Tobira and Shire. A significant number of other companies are conducting earlier clinical trials that may be applicable in NASH and other cholestatic diseases, including Boehringer Ingelheim, Cymabay, Durect, Islet, Medicnova, Nimbus, and Viking, and there are additional companies conducting preclinical studies in these disease areas.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We have not developed independently any approved products and we have limited clinical development experience, which makes it difficult to assess our ability to develop and commercialize our future product candidates.</w:t>
      </w:r>
    </w:p>
    <w:p>
      <w:pPr>
        <w:spacing w:after="0" w:line="170"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To date, AbbVie has been and will continue to be responsible for all of the clinical development of our paritaprevir and ABT-493 protease inhibitor product candidates. We have not yet demonstrated an ability to successfully address many of the risks and uncertainties associated with late stage clinical development, regulatory approval and commercialization of therapeutic products such as the ones we plan to develop independently. For example, to execute our business plan for development of our independent programs for any combinations of any of our NS5A inhibitors, cyclophilin inhibitors and nucleotide polymerase inhibitors for HCV, we will need to successfully:</w:t>
      </w:r>
    </w:p>
    <w:p>
      <w:pPr>
        <w:spacing w:after="0" w:line="94" w:lineRule="exact"/>
        <w:rPr>
          <w:sz w:val="20"/>
          <w:szCs w:val="20"/>
          <w:color w:val="auto"/>
        </w:rPr>
      </w:pPr>
    </w:p>
    <w:p>
      <w:pPr>
        <w:ind w:left="1460" w:hanging="547"/>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execute clinical development of our future product candidates;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obtain required regulatory approvals for the development and commercialization of our future product candidates;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 and maintain any future collaborations we may enter into for any of these programs;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build and maintain robust sales, distribution and marketing capabilities, either independently or in collaboration with future collaborators;</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gain market acceptance for our future product candidates;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manage our spending as costs and expenses increase due to clinical trials, regulatory approvals and commercialization.</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If we are unsuccessful in accomplishing these objectives, we may not be able to successfully develop and commercialize our future product candidates and expand our business or continue our operations.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If we are not successful in discovering further product candidates in addition to paritaprevir, ABT-493 and EDP-239 our ability to expand our business and achieve our strategic objectives may be impaired.</w:t>
      </w:r>
    </w:p>
    <w:p>
      <w:pPr>
        <w:spacing w:after="0" w:line="17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Research programs designed to identify product candidates require substantial technical, financial and human resources, whether or not any product candidates are ultimately identified. Our research programs may initially show promise in identifying additional potential product candidates, yet fail to yield product candidates for clinical development or commercialization for many reasons, including the following:</w:t>
      </w:r>
    </w:p>
    <w:p>
      <w:pPr>
        <w:spacing w:after="0" w:line="87" w:lineRule="exact"/>
        <w:rPr>
          <w:sz w:val="20"/>
          <w:szCs w:val="20"/>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research methodology used may not be successful in identifying additional potential product candidates;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future product candidates obsolete;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competitors may obtain intellectual property protection that effectively prevents us from developing a potential product candidate;</w:t>
      </w:r>
    </w:p>
    <w:p>
      <w:pPr>
        <w:spacing w:after="0" w:line="142" w:lineRule="exact"/>
        <w:rPr>
          <w:rFonts w:ascii="Arial" w:cs="Arial" w:eastAsia="Arial" w:hAnsi="Arial"/>
          <w:sz w:val="17"/>
          <w:szCs w:val="17"/>
          <w:color w:val="auto"/>
        </w:rPr>
      </w:pPr>
    </w:p>
    <w:p>
      <w:pPr>
        <w:ind w:left="1460" w:right="100" w:hanging="547"/>
        <w:spacing w:after="0" w:line="277" w:lineRule="auto"/>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future product candidate may, on further study, be shown to have harmful side effects or other characteristics that indicate it is unlikely to be effective or otherwise does not meet applicable regulatory criteria;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future product candidate may not be capable of being produced in commercial quantities at an acceptable cost, or at all.</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we are unable to identify additional compounds suitable for preclinical and clinical development, we may not be able to obtain sufficient product revenue in future periods, which likely would result in significant harm to our financial position and adversely impact our stock price.</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we fail to attract and keep senior management and key scientific personnel, we may be unable to successfully develop our product candidates, conduct our clinical trials and commercialize our product candidates.</w:t>
      </w:r>
    </w:p>
    <w:p>
      <w:pPr>
        <w:spacing w:after="0" w:line="1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Our success depends in part on our continued ability to attract, retain and motivate highly qualified management, clinical and scientific personnel. We are highly dependent upon our senior management, particularly Jay R. Luly, Ph.D., our Chief Executive Officer and President, and Yat Sun Or, Ph.D., our Senior Vice President, Research and Development and Chief Scientific Officer, as well as other employees and consultants. Although none of these individuals has informed us to date that he intends to retire or resign in the near future, the loss of services of any of these individuals or one or more of our other members of senior management could delay or prevent the successful development of our future product candidates.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Although we have not historically experienced unique difficulties attracting and retaining qualified employees, we could experience such problems in the future. For example, competition for qualified personnel in the biotechnology and pharmaceutical fields is intense. In addition, we will need to hire additional personnel as we expand our clinical development and commercial activities. We may not be able to attract and retain quality personnel on acceptable terms.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encounter difficulties in managing our growth and expanding our operations successfully.</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As we seek to advance our product candidates through clinical trials, we will need to expand our development, regulatory, manufacturing, marketing and sales capabilities or contract with third parties to provide these capabilities for us. As our operations expand, we expect that we will need to manage additional relationships with various strategic partners, suppliers and other third parties. Future growth will impose significant added responsibilities on members of management. Our future financial performance and our ability to commercialize our product candidates and to compete effectively will depend, in part, on our ability to manage any future growth effectively. To that end, we must be able to manage our development efforts and clinical trials effectively and hire, train and integrate additional management, administrative and sales and marketing personnel. We may not be able to accomplish these tasks, and our failure to accomplish any of them could prevent us from successfully growing our company.</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To date, our principal sources of revenue have been our collaboration agreements, including our current agreement with AbbVie and our prior agreement with Novartis, and future milestone payments and the level of royalties under the AbbVie agreement are uncertain. We have had no products approved for commercial sale by us. Therefore, it is possible that we may incur operating losses in one or more years in the future, and our ability to achieve sustained profitability is unproven.</w:t>
      </w:r>
    </w:p>
    <w:p>
      <w:pPr>
        <w:spacing w:after="0" w:line="187"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In each of our 2012, 2013 and 2014 fiscal years, our net income resulted primarily from license payments, including milestone payments we earned from AbbVie and/or Novartis There is no assurance, however, that we will report net income in subsequent years. To date, we have not commercialized any products ourselves and we have not yet generated substantial revenue from product sales by AbbVie.</w:t>
      </w:r>
    </w:p>
    <w:p>
      <w:pPr>
        <w:spacing w:after="0" w:line="181" w:lineRule="exact"/>
        <w:rPr>
          <w:sz w:val="20"/>
          <w:szCs w:val="20"/>
          <w:color w:val="auto"/>
        </w:rPr>
      </w:pPr>
    </w:p>
    <w:p>
      <w:pPr>
        <w:ind w:right="140"/>
        <w:spacing w:after="0" w:line="268" w:lineRule="auto"/>
        <w:rPr>
          <w:sz w:val="20"/>
          <w:szCs w:val="20"/>
          <w:color w:val="auto"/>
        </w:rPr>
      </w:pPr>
      <w:r>
        <w:rPr>
          <w:rFonts w:ascii="Arial" w:cs="Arial" w:eastAsia="Arial" w:hAnsi="Arial"/>
          <w:sz w:val="17"/>
          <w:szCs w:val="17"/>
          <w:color w:val="auto"/>
        </w:rPr>
        <w:t>Our principal source of revenue has been our collaboration agreements, including our current agreement with AbbVie. Future milestone payments are uncertain because AbbVie may choose not to continue research or development activities for our ABT-493 product candidate. For example, under our previous collaboration with Novartis for the development of our NS5A inhibitor, Novartis decided in September 2014 not to pursue further development of the licensed product candidate in light of its decision that HCV was no longer a strategic focus of Novartis, which resulted in the NS5A inhibitor being transferred back to us and our collaboration being terminated. In addition, we may not achieve the specified milestones, our product candidates may not be approved by the FDA or other regulatory authorities or, if they are approved, may not be accepted in the market. If we are unable to develop and commercialize any more of our product candidates, either alone or with our collaborators, or if any such product candidate or paritaprevir does not achieve market acceptance, we may never generate sufficient product royalties or product sales. In addition, for any of our product candidates other than paritaprevir or ABT-493 included in a treatment regimen with more than one active compound, it would be uncertain what portion of net sales of the regimen would be allocated to our product candidate. The existence of multiple active compounds in the regimen or an unfavorable allocation to our product candidate could adversely affect our royalty revenue. Even if we do generate significant product royalties or product sales, we may not be able to sustain profitability on a quarterly or annual basis. Our failure to sustain profitability would depress the market price of our common stock and ultimately could impair our ability to raise capital, expand our business, diversify our product offerings or continue our operations. A decline in the market price of our common stock also could cause you to lose all or a part of your investment.</w:t>
      </w:r>
    </w:p>
    <w:p>
      <w:pPr>
        <w:spacing w:after="0" w:line="18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We may require substantial additional financing in the longer term to achieve our goals if the further commercialization of paritaprevir is delayed or curtailed or if the development of ABT-493 is terminated. A failure to obtain this necessary capital when needed could force us to delay, limit, reduce or terminate some or all of our product development efforts.</w:t>
      </w:r>
    </w:p>
    <w:p>
      <w:pPr>
        <w:spacing w:after="0" w:line="181"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Since our inception, most of our resources have been dedicated to the discovery and preclinical development of our product candidates. In particular, we have expended, and believe that we will continue to expend for the foreseeable future, substantial resources discovering and developing our proprietary product candidates. These expenditures will include costs associated with research and development, preclinical manufacturing of product candidates, conducting preclinical experiments and clinical trials and obtaining regulatory approvals, as well as commercializing any products later approved for sale. For the foreseeable future, we expect to incur substantial additional costs associated with research and development for our internally developed programs, exclusive of costs incurred by our collaborator in developing our licensed product candidates paritaprevir and ABT-493. In addition, we may seek opportunities to in-license or otherwise acquire new therapeutic candidates and therapies.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31" w:lineRule="exact"/>
        <w:rPr>
          <w:sz w:val="20"/>
          <w:szCs w:val="20"/>
          <w:color w:val="auto"/>
        </w:rPr>
      </w:pPr>
    </w:p>
    <w:p>
      <w:pPr>
        <w:ind w:left="5620" w:right="4600" w:hanging="4707"/>
        <w:spacing w:after="0" w:line="449" w:lineRule="auto"/>
        <w:tabs>
          <w:tab w:leader="none" w:pos="1463"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number and characteristics of the future product candidates we pursue; 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760" w:hanging="547"/>
        <w:spacing w:after="0" w:line="277" w:lineRule="auto"/>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any of our future product candidates on our own, including conducting preclinical research and clinical trials;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timing of, and the costs involved in, obtaining regulatory approvals for any future product candidates we develop independently;</w:t>
      </w:r>
    </w:p>
    <w:p>
      <w:pPr>
        <w:spacing w:after="0" w:line="142" w:lineRule="exact"/>
        <w:rPr>
          <w:rFonts w:ascii="Arial" w:cs="Arial" w:eastAsia="Arial" w:hAnsi="Arial"/>
          <w:sz w:val="17"/>
          <w:szCs w:val="17"/>
          <w:color w:val="auto"/>
        </w:rPr>
      </w:pPr>
    </w:p>
    <w:p>
      <w:pPr>
        <w:ind w:left="1460" w:right="320" w:hanging="547"/>
        <w:spacing w:after="0" w:line="277" w:lineRule="auto"/>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commercialization activities, if any, of any future product candidates we develop independently that are approved for sale, including marketing, sales and distribution costs;</w:t>
      </w:r>
    </w:p>
    <w:p>
      <w:pPr>
        <w:spacing w:after="0" w:line="75" w:lineRule="exact"/>
        <w:rPr>
          <w:rFonts w:ascii="Arial" w:cs="Arial" w:eastAsia="Arial" w:hAnsi="Arial"/>
          <w:sz w:val="18"/>
          <w:szCs w:val="18"/>
          <w:color w:val="auto"/>
        </w:rPr>
      </w:pPr>
    </w:p>
    <w:p>
      <w:pPr>
        <w:ind w:left="1460" w:right="520" w:hanging="547"/>
        <w:spacing w:after="0" w:line="277" w:lineRule="auto"/>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 of manufacturing our future product candidates and any products we successfully commercialize independently, including manufacturing for clinical development;</w:t>
      </w:r>
    </w:p>
    <w:p>
      <w:pPr>
        <w:spacing w:after="0" w:line="75" w:lineRule="exact"/>
        <w:rPr>
          <w:rFonts w:ascii="Arial" w:cs="Arial" w:eastAsia="Arial" w:hAnsi="Arial"/>
          <w:sz w:val="18"/>
          <w:szCs w:val="18"/>
          <w:color w:val="auto"/>
        </w:rPr>
      </w:pPr>
    </w:p>
    <w:p>
      <w:pPr>
        <w:ind w:left="1460" w:right="500" w:hanging="547"/>
        <w:spacing w:after="0" w:line="277" w:lineRule="auto"/>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costs involved in preparing, filing, prosecuting, maintaining, defending and enforcing patents, including litigation costs and the outcome of such litigation;</w:t>
      </w:r>
    </w:p>
    <w:p>
      <w:pPr>
        <w:spacing w:after="0" w:line="75" w:lineRule="exact"/>
        <w:rPr>
          <w:rFonts w:ascii="Arial" w:cs="Arial" w:eastAsia="Arial" w:hAnsi="Arial"/>
          <w:sz w:val="18"/>
          <w:szCs w:val="18"/>
          <w:color w:val="auto"/>
        </w:rPr>
      </w:pPr>
    </w:p>
    <w:p>
      <w:pPr>
        <w:ind w:left="1460" w:right="60" w:hanging="547"/>
        <w:spacing w:after="0" w:line="277" w:lineRule="auto"/>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level of future sales of paritaprevir-containing regimens and the resulting levels of annually tiered royalties on paritaprevir, as well as for sales, if any, of ABT-493 .</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Additional funds may not be available if and when we need them, on terms that are acceptable to us, or at all. Our ability to raise funds will depend on financial, economic and market conditions and other factors, many of which are beyond our control. If adequate funds are not available to us on a timely basis, we may be required to delay, limit, reduce or terminate preclinical studies, clinical trials or other research and development activities for one or more of our product candidates.</w:t>
      </w:r>
    </w:p>
    <w:p>
      <w:pPr>
        <w:spacing w:after="0" w:line="18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Our government funded contract for our antibiotic program, which is being concluded in fiscal 2015, is subject to audit and adjustments that could affect our previously reported revenues.</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contract with the National Institute of Allergy and Infectious Diseases, or NIAID, a division of the National Institutes of Health, an agency of the United States Department of Health and Human Services, to support our antibiotic program, is scheduled to be completed in fiscal 2015. Our contract related costs and fees, including allocated indirect costs, are subject to audits and adjustments by negotiation between us and the U.S. government. As part of the audit process, the government audit agency verifies that all charges made by a contractor against a contract are legitimate and appropriate. Audits may result in recalculation of contract revenues and non-reimbursement of some contract costs and fees. Any audits of our contract related costs and fees could result in material adjustments to our reported revenue.</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Development, Clinical Testing and Regulatory Approval of Our Product Candidates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uncertain timelines and uncertain outcomes. If clinical trials are prolonged or delayed, we or our collaborators may be unable to commercialize our product candidates on a timely basis.</w:t>
      </w:r>
    </w:p>
    <w:p>
      <w:pPr>
        <w:spacing w:after="0" w:line="170"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Clinical testing is expensive and, depending on the stage of development, can take a substantial time period to complete. Its outcome is inherently uncertain, and failure can occur at any time during clinical development. None of our product candidates in our pipeline other than paritaprevir has yet advanced beyond Phase 2 clinical trials. Any future clinical trials of our other product candidates may fail to demonstrate sufficient safety and efficacy. Moreover, regulatory and administrative delays may adversely affect our or our collaborators’ clinical development plans and jeopardize our or our collaborators’ ability to attain product approval, commence product sales, compete successfully against other HCV therapies and generate revenues.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Clinical trials can be delayed for a variety of reasons, including delays related to:</w:t>
      </w:r>
    </w:p>
    <w:p>
      <w:pPr>
        <w:spacing w:after="0" w:line="131" w:lineRule="exact"/>
        <w:rPr>
          <w:sz w:val="20"/>
          <w:szCs w:val="20"/>
          <w:color w:val="auto"/>
        </w:rPr>
      </w:pPr>
    </w:p>
    <w:p>
      <w:pPr>
        <w:ind w:left="1460" w:right="200" w:hanging="547"/>
        <w:spacing w:after="0" w:line="308" w:lineRule="auto"/>
        <w:tabs>
          <w:tab w:leader="none" w:pos="14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reaching agreement on acceptable terms with prospective contract research organizations, or CROs, and clinical trial sites, the terms of which can be subject to extensive negotiation and may vary significantly among different CROs and trial sites;</w:t>
      </w:r>
    </w:p>
    <w:p>
      <w:pPr>
        <w:spacing w:after="0" w:line="51" w:lineRule="exact"/>
        <w:rPr>
          <w:rFonts w:ascii="Arial" w:cs="Arial" w:eastAsia="Arial" w:hAnsi="Arial"/>
          <w:sz w:val="17"/>
          <w:szCs w:val="17"/>
          <w:color w:val="auto"/>
        </w:rPr>
      </w:pPr>
    </w:p>
    <w:p>
      <w:pPr>
        <w:ind w:left="1460" w:hanging="547"/>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of third-party contractors, such as CROs, or investigators to comply with regulatory requirements;</w:t>
      </w:r>
    </w:p>
    <w:p>
      <w:pPr>
        <w:spacing w:after="0" w:line="130" w:lineRule="exact"/>
        <w:rPr>
          <w:rFonts w:ascii="Arial" w:cs="Arial" w:eastAsia="Arial" w:hAnsi="Arial"/>
          <w:sz w:val="18"/>
          <w:szCs w:val="18"/>
          <w:color w:val="auto"/>
        </w:rPr>
      </w:pPr>
    </w:p>
    <w:p>
      <w:pPr>
        <w:ind w:left="1460" w:right="380" w:hanging="547"/>
        <w:spacing w:after="0" w:line="277" w:lineRule="auto"/>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 or failure in obtaining the necessary approvals from regulators or institutional review boards, or IRBs, in order to commence a clinical trial at a prospective trial site, or their suspension or termination of a clinical trial once commenced;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in recruiting suitable patients to participate in a trial;</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difficulty in having patients complete a trial or return for post-treatment follow-up;</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problems with drug product or drug substance storage and distribution;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220" w:hanging="547"/>
        <w:spacing w:after="0" w:line="277" w:lineRule="auto"/>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manufacture, or obtain from third parties, adequate supply of drug product sufficient to complete our preclinical studies and clinical trials;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governmental or regulatory delays and changes in regulatory requirements, policy and guidelines; or</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varying interpretations of data by the FDA, the EMA and similar foreign regulatory agencies.</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results of any Phase 3 clinical trial may not be adequate to support marketing approval. These clinical trials are lengthy and usually involve from many hundreds to thousands of patients. In addition, if the FDA or the EMA disagrees with our or our collaborator’s choice of the key testing criteria, or primary endpoint, or the results for the primary endpoint are not robust or significant relative to the control group of patients not receiving the experimental therapy or are subject to confounding factors, or are not adequately supported by other study endpoints, the FDA or the EMA, or both, may refuse to approve our or our collaborator’s product candidate. The FDA or the EMA also may require additional clinical trials as a condition for approving any of these product candidates. We estimate that it will likely be our fiscal 2018 before an NDA for one of our or a collaborator’s product candidates other than paritaprevir could be approved by the FDA or the EMA.</w:t>
      </w:r>
    </w:p>
    <w:p>
      <w:pPr>
        <w:spacing w:after="0" w:line="18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We could also encounter delays if a clinical trial is suspended or terminated by us, by the IRBs of the institutions in which such trial is being conducted, by any Data Safety Monitoring Board, or DSMB, for such trial, or by the FDA, the EMA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delays can occur due to safety concerns arising from trials or other clinical data regarding another company’s product candidate in the same compound class as one of ours. If we or our collaborators experience delays in the completion of, or termination of, any clinical trial of one of our product candidates, the commercial prospects of the product candidate will be harmed, and our or our collaborators’ ability to commence product sales and generate product revenues from the product candidate will be delayed. In addition, any delays in completing our clinical trials will increase our costs and slow down our product candidate development and approval process. Any of these occurrences may harm our business, financial condition and prospects significantly. In addition, many of the factors that cause, or lead to, a delay in the commencement or completion of clinical trials may also ultimately lead to the denial of regulatory approval of our product candidates.</w:t>
      </w:r>
    </w:p>
    <w:p>
      <w:pPr>
        <w:spacing w:after="0" w:line="180" w:lineRule="exact"/>
        <w:rPr>
          <w:sz w:val="20"/>
          <w:szCs w:val="20"/>
          <w:color w:val="auto"/>
        </w:rPr>
      </w:pPr>
    </w:p>
    <w:p>
      <w:pPr>
        <w:spacing w:after="0" w:line="342" w:lineRule="auto"/>
        <w:rPr>
          <w:sz w:val="20"/>
          <w:szCs w:val="20"/>
          <w:color w:val="auto"/>
        </w:rPr>
      </w:pPr>
      <w:r>
        <w:rPr>
          <w:rFonts w:ascii="Arial" w:cs="Arial" w:eastAsia="Arial" w:hAnsi="Arial"/>
          <w:sz w:val="16"/>
          <w:szCs w:val="16"/>
          <w:b w:val="1"/>
          <w:bCs w:val="1"/>
          <w:i w:val="1"/>
          <w:iCs w:val="1"/>
          <w:color w:val="auto"/>
        </w:rPr>
        <w:t>Any product candidate in our current NASH program may have undesirable side effects which may delay or prevent marketing approval, or, if approval is received, require our product candidates to be taken off the market, require them to include safety warnings or otherwise limit their sales.</w:t>
      </w:r>
    </w:p>
    <w:p>
      <w:pPr>
        <w:spacing w:after="0" w:line="12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our NASH program we are developing an agonist of the farnesoid X receptor, or FXR, that is designed to bind to that receptor and then trigger a response from it. With the exception of one drug approved to treat cholesterol gallstone dissolution and a rare lipid storage disease, there are no approved FXR agonists and the adverse effects from long-term exposure to this drug class are unknown. Unforeseen side effects from any of our product candidates could arise either during clinical development or, if approved, after the approved product has been marketed. The range and potential severity of possible side effects from systemic therapies like FXR agonists is significant.</w:t>
      </w:r>
    </w:p>
    <w:p>
      <w:pPr>
        <w:spacing w:after="0" w:line="18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In addition, our drug candidates for NASH will be developed as a potential treatment for a severe disease that commonly occurs in patients with other serious conditions, including metabolic syndrome and diabetes. Any clinical trials in NASH will necessarily be conducted in patient population that will be more prone than the general population to exhibit certain disease states or adverse events. It may be difficult to discern whether certain events or symptoms observed during our trials were due to our drug candidates or placebo, resulting in our company and our development programs being negatively affected even if such events or symptoms are ultimately determined to be unlikely related to our drug candidates.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If any of our product candidates receives marketing approval and we or others later identify undesirable or unacceptable side effects caused by such products:</w:t>
      </w:r>
    </w:p>
    <w:p>
      <w:pPr>
        <w:spacing w:after="0" w:line="154" w:lineRule="exact"/>
        <w:rPr>
          <w:sz w:val="20"/>
          <w:szCs w:val="20"/>
          <w:color w:val="auto"/>
        </w:rPr>
      </w:pPr>
    </w:p>
    <w:p>
      <w:pPr>
        <w:ind w:left="900" w:right="48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specific warnings, a contraindication or field alerts to physicians and pharmacies;</w:t>
      </w:r>
    </w:p>
    <w:p>
      <w:pPr>
        <w:spacing w:after="0" w:line="75"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administered, conduct additional clinical trials or change the labeling of the product;</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sales of the product may decrease significantly;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subject to litigation or product liability claims;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Any of these events could prevent us or our potential future collaborators from achieving or maintaining market acceptance of the affected product or could substantially increase commercialization costs and expenses, which in turn could delay or prevent us from generating significant revenues from the sale of any product we develop for NASH.</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b w:val="1"/>
          <w:bCs w:val="1"/>
          <w:i w:val="1"/>
          <w:iCs w:val="1"/>
          <w:color w:val="auto"/>
        </w:rPr>
        <w:t>If we or AbbVie are required to suspend or discontinue clinical trials due to side effects or other safety risks associated with our product candidates, or if we or AbbVie are required to conduct studies on the long-term effects associated with the use of our product candidates, efforts to commercialize our product candidates could be delayed or halted.</w:t>
      </w:r>
    </w:p>
    <w:p>
      <w:pPr>
        <w:spacing w:after="0" w:line="18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Clinical trials involving our product candidates may be suspended or terminated at any time for a number of safety-related reasons. For example, we or AbbVie may voluntarily suspend or terminate clinical trials if at any time one of our product candidates, or a combination therapy including any of them, presents an unacceptable safety risk to the clinical trial patients. In addition, IRBs or regulatory agencies may order the temporary discontinuation or termination of clinical trials at any time if they believe that the clinical trials are not being conducted in accordance with applicable regulatory requirements, including if they present an unacceptable safety risk to patients. Administering any product candidate to humans may produce undesirable side effects. The existence of undesirable side effects resulting from any of our product candidates, or a combination therapy including any of them, could cause us, AbbVie or regulatory authorities, such as the FDA or EMA, to interrupt, delay or halt clinical trials of our product candidates and could result in the FDA or EMA or other regulatory agencies denying further development or approval of our product candidates for any or all targeted indications. This, in turn, could prevent us or AbbVie from commercializing our product candidates.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earlier clinical trials may not be predictive of the results of later-stage clinical trials.</w:t>
      </w:r>
    </w:p>
    <w:p>
      <w:pPr>
        <w:spacing w:after="0" w:line="22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results of preclinical studies and early clinical trials of our product candidates, whether ABT-493, EDP-239 or any of our future product candidates, may not be predictive of the results of later-stage clinical trials. In addition, results of Phase 3 clinical trials in one or more ethnic groups are not necessarily indicative of results in other ethnic groups. Product candidates in later stages of clinical trials may fail to show the desired safety and efficacy results despite having progressed through preclinical studies and initial clinical trials. Many companies in the biopharmaceutical industry have suffered significant setbacks in advanced clinical trials due to adverse safety profiles or lack of efficacy, notwithstanding promising results in earlier studies. Similarly, future clinical trial results may not be successful for these or other reasons.</w:t>
      </w:r>
    </w:p>
    <w:p>
      <w:pPr>
        <w:spacing w:after="0" w:line="193"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product candidate development risk is heightened by any changes in the planned clinical trials compared to the completed clinical trials. As product candidates are developed through preclinical early and late stage clinical trials towards approval and commercialization, it is customary that various aspects of the development program, such as manufacturing and formulation, are altered along the way in an effort to optimize processes and results. Such changes carry the risk that they will not achieve these intended objectives. Any of these changes could make the results of planned clinical trials or other future clinical trials we or our collaborators may initiate less predictable and could cause our product candidates to perform differently, which could delay completion of clinical trials, delay approval of our product candidates and/or jeopardize our or our collaborators’ ability to commence product sales and generate revenues.</w:t>
      </w:r>
    </w:p>
    <w:p>
      <w:pPr>
        <w:spacing w:after="0" w:line="16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b w:val="1"/>
          <w:bCs w:val="1"/>
          <w:i w:val="1"/>
          <w:iCs w:val="1"/>
          <w:color w:val="auto"/>
        </w:rPr>
        <w:t>The regulatory approval processes of the FDA, the EMA and other comparable foreign authorities are lengthy, time-consuming and inherently unpredictable, and if we or our collaborators are ultimately unable to obtain timely regulatory approval for our product candidates, our business will be substantially harmed.</w:t>
      </w:r>
    </w:p>
    <w:p>
      <w:pPr>
        <w:spacing w:after="0" w:line="181" w:lineRule="exact"/>
        <w:rPr>
          <w:sz w:val="20"/>
          <w:szCs w:val="20"/>
          <w:color w:val="auto"/>
        </w:rPr>
      </w:pPr>
    </w:p>
    <w:p>
      <w:pPr>
        <w:ind w:right="240"/>
        <w:spacing w:after="0" w:line="289" w:lineRule="auto"/>
        <w:rPr>
          <w:sz w:val="20"/>
          <w:szCs w:val="20"/>
          <w:color w:val="auto"/>
        </w:rPr>
      </w:pPr>
      <w:r>
        <w:rPr>
          <w:rFonts w:ascii="Arial" w:cs="Arial" w:eastAsia="Arial" w:hAnsi="Arial"/>
          <w:sz w:val="16"/>
          <w:szCs w:val="16"/>
          <w:color w:val="auto"/>
        </w:rPr>
        <w:t>The regulatory approval process is expensive and, while the time required to gain FDA and foreign regulatory approval is uncertain, it may take years. Regulatory approvals are unpredictable and depend upon numerous factors, including the substantial discretion of the regulatory authorities. In addition, approval policies, regulations, or the type and amount of preclinical and clinical data necessary to gain approval may change during the course of a product candidate’s clinical development and may vary among jurisdictions. We or our collaborators may be required to undertake and complete certain additional preclinical studies to generate toxicity and other data required to support the submission of a New Drug Application, or NDA, to the FDA or comparable application to other regulatory authorities. Neither we nor our collaborator have obtained regulatory approval for any of our product candidates and it is possible that none of our existing product candidates or any of our future product candidates will ever obtain regulatory approval. Furthermore, approval in the United States by the FDA does not ensure approval by regulatory authorities in other countries or jurisdictions, and approval by one foreign regulatory authority does not ensure approval by regulatory authorities in other foreign countries or by the FDA.</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31" w:lineRule="exact"/>
        <w:rPr>
          <w:sz w:val="20"/>
          <w:szCs w:val="20"/>
          <w:color w:val="auto"/>
        </w:rPr>
      </w:pPr>
    </w:p>
    <w:p>
      <w:pPr>
        <w:ind w:left="1460" w:right="460" w:hanging="547"/>
        <w:spacing w:after="0" w:line="277" w:lineRule="auto"/>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the EMA or other comparable foreign regulatory authorities may disagree with the design or implementation of our or our collaborators’ clinical trials;</w:t>
      </w:r>
    </w:p>
    <w:p>
      <w:pPr>
        <w:spacing w:after="0" w:line="75" w:lineRule="exact"/>
        <w:rPr>
          <w:rFonts w:ascii="Arial" w:cs="Arial" w:eastAsia="Arial" w:hAnsi="Arial"/>
          <w:sz w:val="18"/>
          <w:szCs w:val="18"/>
          <w:color w:val="auto"/>
        </w:rPr>
      </w:pPr>
    </w:p>
    <w:p>
      <w:pPr>
        <w:ind w:left="1460" w:right="300" w:hanging="547"/>
        <w:spacing w:after="0" w:line="277" w:lineRule="auto"/>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or our collaborators may be unable to demonstrate to the satisfaction of the FDA, the EMA or other comparable foreign regulatory authorities that a product candidate is safe and effective for its proposed indication;</w:t>
      </w:r>
    </w:p>
    <w:p>
      <w:pPr>
        <w:spacing w:after="0" w:line="75" w:lineRule="exact"/>
        <w:rPr>
          <w:rFonts w:ascii="Arial" w:cs="Arial" w:eastAsia="Arial" w:hAnsi="Arial"/>
          <w:sz w:val="18"/>
          <w:szCs w:val="18"/>
          <w:color w:val="auto"/>
        </w:rPr>
      </w:pPr>
    </w:p>
    <w:p>
      <w:pPr>
        <w:ind w:left="1460" w:right="180" w:hanging="547"/>
        <w:spacing w:after="0" w:line="277" w:lineRule="auto"/>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the EMA or other comparable foreign regulatory authorities for approval;</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or our collaborators may be unable to demonstrate that a product candidate’s clinical and other benefits outweigh its safety risks;</w:t>
      </w:r>
    </w:p>
    <w:p>
      <w:pPr>
        <w:spacing w:after="0" w:line="142" w:lineRule="exact"/>
        <w:rPr>
          <w:rFonts w:ascii="Arial" w:cs="Arial" w:eastAsia="Arial" w:hAnsi="Arial"/>
          <w:sz w:val="17"/>
          <w:szCs w:val="17"/>
          <w:color w:val="auto"/>
        </w:rPr>
      </w:pPr>
    </w:p>
    <w:p>
      <w:pPr>
        <w:ind w:left="1460" w:right="200" w:hanging="547"/>
        <w:spacing w:after="0" w:line="277" w:lineRule="auto"/>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FDA, the EMA or other comparable foreign regulatory authorities may disagree with our or our collaborators’ interpretation of data from preclinical studies or clinical trials;</w:t>
      </w:r>
    </w:p>
    <w:p>
      <w:pPr>
        <w:spacing w:after="0" w:line="75" w:lineRule="exact"/>
        <w:rPr>
          <w:rFonts w:ascii="Arial" w:cs="Arial" w:eastAsia="Arial" w:hAnsi="Arial"/>
          <w:sz w:val="18"/>
          <w:szCs w:val="18"/>
          <w:color w:val="auto"/>
        </w:rPr>
      </w:pPr>
    </w:p>
    <w:p>
      <w:pPr>
        <w:ind w:left="1460" w:right="520" w:hanging="547"/>
        <w:spacing w:after="0" w:line="277" w:lineRule="auto"/>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submissions or to obtain regulatory approval in the United States or elsewhere;</w:t>
      </w:r>
    </w:p>
    <w:p>
      <w:pPr>
        <w:spacing w:after="0" w:line="75" w:lineRule="exact"/>
        <w:rPr>
          <w:rFonts w:ascii="Arial" w:cs="Arial" w:eastAsia="Arial" w:hAnsi="Arial"/>
          <w:sz w:val="18"/>
          <w:szCs w:val="18"/>
          <w:color w:val="auto"/>
        </w:rPr>
      </w:pPr>
    </w:p>
    <w:p>
      <w:pPr>
        <w:ind w:left="1460" w:right="400" w:hanging="547"/>
        <w:spacing w:after="0" w:line="342" w:lineRule="auto"/>
        <w:tabs>
          <w:tab w:leader="none" w:pos="14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or facilities of third-party manufacturers with which we or our collaborators contract for clinical and commercial supplies of any of our product candidate; and</w:t>
      </w:r>
    </w:p>
    <w:p>
      <w:pPr>
        <w:spacing w:after="0" w:line="29" w:lineRule="exact"/>
        <w:rPr>
          <w:rFonts w:ascii="Arial" w:cs="Arial" w:eastAsia="Arial" w:hAnsi="Arial"/>
          <w:sz w:val="16"/>
          <w:szCs w:val="16"/>
          <w:color w:val="auto"/>
        </w:rPr>
      </w:pPr>
    </w:p>
    <w:p>
      <w:pPr>
        <w:ind w:left="1460" w:right="100" w:hanging="547"/>
        <w:spacing w:after="0" w:line="277" w:lineRule="auto"/>
        <w:tabs>
          <w:tab w:leader="none" w:pos="1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approval policies or regulations of the FDA, the EMA or other comparable foreign regulatory authorities may significantly change in a manner rendering our or our collaborators’ clinical data insufficient for approval.</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We and our collaborators cannot be assured that after spending substantial time and resources, we or our collaborators will obtain regulatory approvals in any desired jurisdiction. Even if we or our collaborators were to obtain approval, regulatory authorities may grant approval contingent on the performance of costly post-marketing clinical trials, or may approve a product candidate with a label that does not include the labeling claims necessary or desirable for the successful commercialization of that product candidate. Significant clinical trial delays could allow our competitors to obtain marketing approval before we or our collaborators do or could shorten the patent protection period during which we may have the exclusive right to commercialize our product candidates. In addition, we or our collaborators may not be able to ultimately achieve the prices intended for our products. In many foreign countries, including those in the European union, a product candidate must be approved for reimbursement before it can be approved for sale in that country. Any of the foregoing scenarios could materially harm the commercial prospects for our product candidates.</w:t>
      </w:r>
    </w:p>
    <w:p>
      <w:pPr>
        <w:spacing w:after="0" w:line="17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b w:val="1"/>
          <w:bCs w:val="1"/>
          <w:i w:val="1"/>
          <w:iCs w:val="1"/>
          <w:color w:val="auto"/>
        </w:rPr>
        <w:t>Even if we receive regulatory approval for any of our product candidates we develop independently, we will be subject to ongoing FDA obligations and continued regulatory review in other jurisdictions, which may result in significant additional expense. Additionally, our product candidates, if approved, could be subject to labeling and other restrictions and market withdrawal and we may be subject to penalties if we or our collaborators fail to comply with regulatory requirements or experience unanticipated problems with our products.</w:t>
      </w:r>
    </w:p>
    <w:p>
      <w:pPr>
        <w:spacing w:after="0" w:line="17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Any regulatory approvals that we receive for our product candidates we develop independently may be subject to limitations on the approved indicated uses for which the product may be marketed or subject to certain conditions of approval, or may contain requirements for potentially costly post-marketing testing, including Phase 4 clinical trials, and surveillance to monitor the safety and efficacy of the product candidate.</w:t>
      </w:r>
    </w:p>
    <w:p>
      <w:pPr>
        <w:spacing w:after="0" w:line="181"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addition, if the FDA approves any of our product candidates, the manufacturing processes, labeling, packaging, distribution, adverse event reporting, storage, advertising, promotion and recordkeeping for the product will be subject to extensive and ongoing regulatory requirements. These requirements include submissions of safety and other post-marketing information and reports, as well as continued compliance with current good manufacturing practices, or cGMP, and good clinical practices, or GCP, for any clinical trials that we or our collaborators conduct post-approval. Later discovery of previously unknown problems with a product, including adverse events of unanticipated severity or frequency, or with third-party manufacturers or manufacturing processes, or failure to comply with regulatory requirements, may result in, among other things:</w:t>
      </w:r>
    </w:p>
    <w:p>
      <w:pPr>
        <w:spacing w:after="0" w:line="84" w:lineRule="exact"/>
        <w:rPr>
          <w:sz w:val="20"/>
          <w:szCs w:val="20"/>
          <w:color w:val="auto"/>
        </w:rPr>
      </w:pPr>
    </w:p>
    <w:p>
      <w:pPr>
        <w:ind w:left="1460" w:right="440" w:hanging="547"/>
        <w:spacing w:after="0" w:line="277" w:lineRule="auto"/>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fines, warning letters or holds on any post-approval clinical trials;</w:t>
      </w:r>
    </w:p>
    <w:p>
      <w:pPr>
        <w:spacing w:after="0" w:line="130" w:lineRule="exact"/>
        <w:rPr>
          <w:rFonts w:ascii="Arial" w:cs="Arial" w:eastAsia="Arial" w:hAnsi="Arial"/>
          <w:sz w:val="18"/>
          <w:szCs w:val="18"/>
          <w:color w:val="auto"/>
        </w:rPr>
      </w:pPr>
    </w:p>
    <w:p>
      <w:pPr>
        <w:ind w:left="1460" w:right="760" w:hanging="547"/>
        <w:spacing w:after="0" w:line="277" w:lineRule="auto"/>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our collaborators, or suspension or revocation of product license approvals;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either in the United States or abroad. If we or our collaborators are slow or unable to adapt to changes in existing requirements or the adoption of new requirements or policies, or if we or our collaborators are not able to maintain regulatory compliance, our product candidates may lose any marketing approval that may have been obtained and we may not achieve or sustain profitability, which would adversely affect our business.</w:t>
      </w:r>
    </w:p>
    <w:p>
      <w:pPr>
        <w:spacing w:after="0" w:line="187"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b w:val="1"/>
          <w:bCs w:val="1"/>
          <w:i w:val="1"/>
          <w:iCs w:val="1"/>
          <w:color w:val="auto"/>
        </w:rPr>
        <w:t>We, or only AbbVie in the case of paritaprevir or ABT-493, may delay or terminate the development of a product candidate at any time if we or AbbVie believe the perceived market or commercial opportunity does not justify further investment, which could materially harm our business.</w:t>
      </w:r>
    </w:p>
    <w:p>
      <w:pPr>
        <w:spacing w:after="0" w:line="124"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Even though the results of preclinical studies and clinical trials that we or AbbVie have conducted or may conduct in the future may support further development of one or more of our product candidates, we, or only AbbVie in the case of paritaprevir or ABT-493, may delay, suspend or terminate the future development of a product candidate at any time for strategic, business, financial or other reasons, including the determination or belief that the emerging profile of the product candidate is such that it may not receive regulatory approvals in key markets, gain meaningful market acceptance, otherwise provide any competitive advantages in its intended indication or market or generate a significant return to stockholders. Such a delay, suspension or termination could materially harm our business, results of operations or financial condition. In addition, AbbVie may have the right to make decisions regarding the development and commercialization of product candidates without consulting us, and may make decisions with which we do not agree.</w:t>
      </w:r>
    </w:p>
    <w:p>
      <w:pPr>
        <w:spacing w:after="0" w:line="16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Our internal computer systems, or those of our collaborators, CROs or other contractors or consultants, may fail or suffer security breaches, which could result in a material disruption of development programs for our product candidates.</w:t>
      </w:r>
    </w:p>
    <w:p>
      <w:pPr>
        <w:spacing w:after="0" w:line="17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Despite the implementation of security measures, our internal computer systems and those of our collaborators,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independent drug development programs or those of our collaborators. For example, the loss of clinical trial data from ongoing or future clinical trials for any of our product candidates could result in delays in regulatory approval efforts and significantly increase costs to recover or reproduce the data. To the extent that any disruption or security breach were to result in a loss of or damage to data or applications, or inappropriate disclosure of confidential or proprietary information, we or our collaborators could incur liability and the further development of our product candidates could be delayed.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Commercialization of Our Product Candidates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If, in the future, we are unable to establish our own sales, marketing and distribution capabilities or enter into licensing or collaboration agreements for these purposes, we may not be successful in commercializing any future product candidates.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do not have a sales or marketing infrastructure and have no sales, marketing or distribution experience. We will seek to either build our own commercial infrastructure to commercialize any future products if and when they are approved, or enter into licensing or collaboration agreements where our collaborator is responsible for commercialization, like in the case of our collaboration with AbbVie, or where we have the right to assist in the future development and commercialization of such products.</w:t>
      </w:r>
    </w:p>
    <w:p>
      <w:pPr>
        <w:spacing w:after="0" w:line="187"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To develop internal sales, distribution and marketing capabilities, we will have to invest significant amounts of financial and management resources, some of which will be committed prior to any confirmation that any of our proprietary product candidates will be approved. For product candidates for which we decide to perform sales, marketing and distribution functions ourselves, we could face a number of additional risks, including:</w:t>
      </w:r>
    </w:p>
    <w:p>
      <w:pPr>
        <w:spacing w:after="0" w:line="71" w:lineRule="exact"/>
        <w:rPr>
          <w:sz w:val="20"/>
          <w:szCs w:val="20"/>
          <w:color w:val="auto"/>
        </w:rPr>
      </w:pPr>
    </w:p>
    <w:p>
      <w:pPr>
        <w:ind w:left="1460" w:hanging="547"/>
        <w:spacing w:after="0"/>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130" w:lineRule="exact"/>
        <w:rPr>
          <w:rFonts w:ascii="Arial" w:cs="Arial" w:eastAsia="Arial" w:hAnsi="Arial"/>
          <w:sz w:val="18"/>
          <w:szCs w:val="18"/>
          <w:color w:val="auto"/>
        </w:rPr>
      </w:pPr>
    </w:p>
    <w:p>
      <w:pPr>
        <w:ind w:left="1460" w:right="680" w:hanging="547"/>
        <w:spacing w:after="0" w:line="277" w:lineRule="auto"/>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future products;</w:t>
      </w:r>
    </w:p>
    <w:p>
      <w:pPr>
        <w:spacing w:after="0" w:line="75" w:lineRule="exact"/>
        <w:rPr>
          <w:rFonts w:ascii="Arial" w:cs="Arial" w:eastAsia="Arial" w:hAnsi="Arial"/>
          <w:sz w:val="18"/>
          <w:szCs w:val="18"/>
          <w:color w:val="auto"/>
        </w:rPr>
      </w:pPr>
    </w:p>
    <w:p>
      <w:pPr>
        <w:ind w:left="1460" w:right="720" w:hanging="547"/>
        <w:spacing w:after="0" w:line="277" w:lineRule="auto"/>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Where and when appropriate, we may elect to utilize contract sales forces or distribution partners to assist in the commercialization of our product candidates. If we enter into arrangements with third parties to perform sales, marketing and distribution services for our products, the resulting revenues or the profitability from these revenues to us are likely to be lower than if we had sold, marketed and distributed our products ourselves. In addition, we may not be successful in entering into arrangements with third parties to sell, market and distribute our product candidates or may be unable to do so on terms that are favorable to us. We likely will have little control over such third parties, and any of these third parties may fail to devote the necessary resources and attention to sell, market and distribute our products effectively.</w:t>
      </w:r>
    </w:p>
    <w:p>
      <w:pPr>
        <w:spacing w:after="0" w:line="193"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If we do not establish sales, marketing and distribution capabilities successfully, either on our own or in collaboration with third parties, we will not be successful in commercializing our product candidates.</w:t>
      </w:r>
    </w:p>
    <w:p>
      <w:pPr>
        <w:spacing w:after="0" w:line="170"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Our commercial success depends upon significant market acceptance among physicians, patients and healthcare payors of our paritaprevir or any other product candidates licensed to AbbVie, if approved, as well as of any future product candidates we plan to develop independently or in collaboration with others.</w:t>
      </w:r>
    </w:p>
    <w:p>
      <w:pPr>
        <w:spacing w:after="0" w:line="18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Paritaprevir, as well as ABT-493 or EDP-239 or any other product candidate that we may develop in the future that obtains regulatory approval, whether as part of a combination therapy or as a monotherapy, may not gain market acceptance among physicians, healthcare payors, patients and the medical community. For example, the standard of care in HCV is likely to evolve rapidly as many new product candidates are being developed and tested. The degree of market acceptance of any products for which we receive approval for commercial sale depends on a number of factors, including:</w:t>
      </w:r>
    </w:p>
    <w:p>
      <w:pPr>
        <w:spacing w:after="0" w:line="60" w:lineRule="exact"/>
        <w:rPr>
          <w:sz w:val="20"/>
          <w:szCs w:val="20"/>
          <w:color w:val="auto"/>
        </w:rPr>
      </w:pPr>
    </w:p>
    <w:p>
      <w:pPr>
        <w:ind w:left="1460" w:right="200" w:hanging="547"/>
        <w:spacing w:after="0" w:line="342" w:lineRule="auto"/>
        <w:tabs>
          <w:tab w:leader="none" w:pos="1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efficacy and safety of treatment regimens containing one of our partnered product candidates, as demonstrated in clinical trials, and the degree to which these regimens represent a clinically meaningful improvement in care as compared with other available therapies;</w:t>
      </w:r>
    </w:p>
    <w:p>
      <w:pPr>
        <w:spacing w:after="0" w:line="29" w:lineRule="exact"/>
        <w:rPr>
          <w:rFonts w:ascii="Arial" w:cs="Arial" w:eastAsia="Arial" w:hAnsi="Arial"/>
          <w:sz w:val="16"/>
          <w:szCs w:val="16"/>
          <w:color w:val="auto"/>
        </w:rPr>
      </w:pPr>
    </w:p>
    <w:p>
      <w:pPr>
        <w:ind w:left="1460" w:hanging="547"/>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clinical indications for which any treatment regimen containing one of our product candidates become approved;</w:t>
      </w:r>
    </w:p>
    <w:p>
      <w:pPr>
        <w:spacing w:after="0" w:line="130" w:lineRule="exact"/>
        <w:rPr>
          <w:rFonts w:ascii="Arial" w:cs="Arial" w:eastAsia="Arial" w:hAnsi="Arial"/>
          <w:sz w:val="18"/>
          <w:szCs w:val="18"/>
          <w:color w:val="auto"/>
        </w:rPr>
      </w:pPr>
    </w:p>
    <w:p>
      <w:pPr>
        <w:ind w:left="1460" w:right="120" w:hanging="547"/>
        <w:spacing w:after="0" w:line="277" w:lineRule="auto"/>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acceptance among physicians, major operators of clinics and patients of any treatment regimen containing one of our product candidates as safe, effective and preferred treatments;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potential and perceived advantages of treatment regimens containing one of our product candidates over alternative treatments;</w:t>
      </w:r>
    </w:p>
    <w:p>
      <w:pPr>
        <w:spacing w:after="0" w:line="142" w:lineRule="exact"/>
        <w:rPr>
          <w:rFonts w:ascii="Arial" w:cs="Arial" w:eastAsia="Arial" w:hAnsi="Arial"/>
          <w:sz w:val="17"/>
          <w:szCs w:val="17"/>
          <w:color w:val="auto"/>
        </w:rPr>
      </w:pPr>
    </w:p>
    <w:p>
      <w:pPr>
        <w:ind w:left="1460" w:hanging="547"/>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130" w:lineRule="exact"/>
        <w:rPr>
          <w:rFonts w:ascii="Arial" w:cs="Arial" w:eastAsia="Arial" w:hAnsi="Arial"/>
          <w:sz w:val="18"/>
          <w:szCs w:val="18"/>
          <w:color w:val="auto"/>
        </w:rPr>
      </w:pPr>
    </w:p>
    <w:p>
      <w:pPr>
        <w:ind w:left="1460" w:right="380" w:hanging="547"/>
        <w:spacing w:after="0" w:line="342" w:lineRule="auto"/>
        <w:tabs>
          <w:tab w:leader="none" w:pos="1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availability of adequate reimbursement and pricing by third parties and government authorities and the impact of any agreements among any of the foregoing and one or more of our competitors limiting access to our product in favor of competitor’s product;</w:t>
      </w:r>
    </w:p>
    <w:p>
      <w:pPr>
        <w:spacing w:after="0" w:line="29" w:lineRule="exact"/>
        <w:rPr>
          <w:rFonts w:ascii="Arial" w:cs="Arial" w:eastAsia="Arial" w:hAnsi="Arial"/>
          <w:sz w:val="16"/>
          <w:szCs w:val="16"/>
          <w:color w:val="auto"/>
        </w:rPr>
      </w:pPr>
    </w:p>
    <w:p>
      <w:pPr>
        <w:ind w:left="1460" w:hanging="547"/>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continued growth of the HCV drug market;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any treatment regimen containing one of our product candidates;</w:t>
      </w:r>
    </w:p>
    <w:p>
      <w:pPr>
        <w:spacing w:after="0" w:line="130" w:lineRule="exact"/>
        <w:rPr>
          <w:rFonts w:ascii="Arial" w:cs="Arial" w:eastAsia="Arial" w:hAnsi="Arial"/>
          <w:sz w:val="18"/>
          <w:szCs w:val="18"/>
          <w:color w:val="auto"/>
        </w:rPr>
      </w:pPr>
    </w:p>
    <w:p>
      <w:pPr>
        <w:ind w:left="1460" w:right="40" w:hanging="547"/>
        <w:spacing w:after="0" w:line="277" w:lineRule="auto"/>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prevalence and severity of adverse side effects, whether involving the use of our products candidates or similar, competitive products;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effectiveness of our or our collaborators’ sales and marketing efforts.</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If treatment regimens containing one of our product candidates are approved and then fail to achieve market acceptance, we may not be able to generate significant additional revenue. Further, if new, more favorably received therapies are introduced after any such regimen achieve market acceptance, then we may not be able to maintain that market acceptance over time.</w:t>
      </w:r>
    </w:p>
    <w:p>
      <w:pPr>
        <w:spacing w:after="0" w:line="181"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Even if AbbVie successfully commercializes paritaprevir in its HCV treatment regimen, or even if we or AbbVie are able to commercialize any other treatment regimen containing one of our product candidates, the resulting products may become subject to unfavorable pricing regulations, third-party reimbursement practices or healthcare reform initiatives in the United States, which would harm our business.</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regulations that govern marketing approvals, pricing and reimbursement for new drug products vary widely from country to country. In the United States, the Patient Protection and Affordable Care Act, as amended by the Health Care and Education Affordability Reconciliation Act of 2010, collectively referred to as the ACA, may significantly change the way healthcare is financed by both governmental and private insurers. While we cannot predict what impact on federal reimbursement policies this law will have in general or specifically on any product or regimen that we or any of our collaborators commercializes, the ACA may result in</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downward pressure on pharmaceutical reimbursement, which could negatively affect market acceptance of new products. In addition, although the United States Supreme Court has upheld the constitutionality of most of the ACA, some states have indicated that they intend not to implement certain sections of the ACA, and some members of the U.S. Congress are still working to repeal the ACA. We cannot predict whether these challenges will continue or other proposals will be made or adopted, or what impact these efforts may have on us or AbbVie. AbbVie or any collaborators’ ability to commercialize any products successfully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is cost containment. Government authorities and third-party payors have attempted to control costs by limiting coverage and the amount of reimbursement for particular medications. Increasingly, third-party payors are requiring that drug companies provide them with predetermined discounts from list prices and are challenging the prices charged for medical products. We cannot be sure that reimbursement will be available for any product that we or any collaborator commercialize and, if reimbursement is available, the level of reimbursement. In addition, reimbursement may impact the demand for, or the price of, any product candidate for which we or a collaborator obtains marketing approval. If reimbursement is not available or is available only to limited levels, we or AbbVie may not be able to successfully commercialize any product candidate for which marketing approval is obtained.</w:t>
      </w:r>
    </w:p>
    <w:p>
      <w:pPr>
        <w:spacing w:after="0" w:line="17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There may be significant delays in obtaining reimbursement for newly approved drugs, and coverage may be more limited than the purposes for which the drug is approved by the FDA or comparable authorities in other jurisdictions. Moreover, eligibility for reimbursement does not imply that any drug will be paid for in all cases or at a rate that covers our costs, including research, development, manufacture, sale and distribution. Interim reimbursement levels for new drugs, if applicable, may also be insufficient to cover our and any collaborator’s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Our or any collaborator’s inability to promptly obtain coverage and profitable payment rates from both government-funded and private payors for any approved products that we or our collaborators develop could have a material adverse effect on our operating results, our ability to raise capital needed to commercialize products and our overall financial condition.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governments tend to impose strict price controls, which may adversely affect our future profitability.</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most foreign countries, particularly in the European Union, prescription drug pricing and/or reimbursement is subject to governmental control. In those countries that impose price controls, pricing negotiations with governmental authorities can take considerable time after the receipt of marketing approval for a product. To obtain reimbursement or pricing approval in some countries, we or our collaborators may be required to conduct a clinical trial that compares the cost-effectiveness of our product candidate to other available therapies.</w:t>
      </w:r>
    </w:p>
    <w:p>
      <w:pPr>
        <w:spacing w:after="0" w:line="18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or our collaborators might obtain marketing approval for a product in a particular country, but then be subject to price regulations that delay commercial launch of the product, possibly for lengthy time periods, and negatively impact the revenues that are generated from the sale of the product in that country. If reimbursement of our products is unavailable or limited in scope or amount, or if pricing is set at unsatisfactory levels, or if there is competition from lower priced cross-border sales, our profitability will be negatively affected.</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21" w:lineRule="exact"/>
        <w:rPr>
          <w:sz w:val="20"/>
          <w:szCs w:val="20"/>
          <w:color w:val="auto"/>
        </w:rPr>
      </w:pPr>
    </w:p>
    <w:p>
      <w:pPr>
        <w:ind w:right="160"/>
        <w:spacing w:after="0" w:line="381" w:lineRule="auto"/>
        <w:rPr>
          <w:sz w:val="20"/>
          <w:szCs w:val="20"/>
          <w:color w:val="auto"/>
        </w:rPr>
      </w:pPr>
      <w:r>
        <w:rPr>
          <w:rFonts w:ascii="Arial" w:cs="Arial" w:eastAsia="Arial" w:hAnsi="Arial"/>
          <w:sz w:val="15"/>
          <w:szCs w:val="15"/>
          <w:b w:val="1"/>
          <w:bCs w:val="1"/>
          <w:i w:val="1"/>
          <w:iCs w:val="1"/>
          <w:color w:val="auto"/>
        </w:rPr>
        <w:t>We may not be successful in establishing new product collaborations, which could adversely affect our ability to develop and commercialize one or more of our future product candidates. If we are unsuccessful in maintaining or forming alliances on favorable terms, our business may not succeed.</w:t>
      </w:r>
    </w:p>
    <w:p>
      <w:pPr>
        <w:spacing w:after="0" w:line="10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We may seek to enter into additional product collaborations in the future, including alliances with other biotechnology or pharmaceutical companies, to enhance and accelerate the development and commercialization of one or more of our future product candidates. We face significant competition in seeking appropriate collaborators and the negotiation process is time-consuming and complex. Moreover, we may not be successful in our efforts to establish other product collaborations or other alternative arrangements for any future product candidates and programs because our research and development pipeline may be insufficient, our product candidates and programs may be deemed to be at too early of a stage of development for collaborative effort and/or third parties may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not view our product candidates and programs as having the requisite potential to demonstrate safety and efficacy. Even if we are successful in our efforts to establish product collaborations, the terms that we agree upon may not be favorable to us and we may not be able to maintain such product collaborations if, for example, development or approval of a product candidate is delayed or sales of an approved product are disappointing.</w:t>
      </w:r>
    </w:p>
    <w:p>
      <w:pPr>
        <w:spacing w:after="0" w:line="16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If our existing collaboration agreement with AbbVie is terminated, or if we determine that entering into other product collaborations is in our best interest but we either fail to enter into, delay in entering into or fail to maintain such collaborations:</w:t>
      </w:r>
    </w:p>
    <w:p>
      <w:pPr>
        <w:spacing w:after="0" w:line="76" w:lineRule="exact"/>
        <w:rPr>
          <w:sz w:val="20"/>
          <w:szCs w:val="20"/>
          <w:color w:val="auto"/>
        </w:rPr>
      </w:pPr>
    </w:p>
    <w:p>
      <w:pPr>
        <w:ind w:left="1460" w:hanging="547"/>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development of certain of our current or future product candidates may be terminated or delayed;</w:t>
      </w:r>
    </w:p>
    <w:p>
      <w:pPr>
        <w:spacing w:after="0" w:line="130" w:lineRule="exact"/>
        <w:rPr>
          <w:rFonts w:ascii="Arial" w:cs="Arial" w:eastAsia="Arial" w:hAnsi="Arial"/>
          <w:sz w:val="18"/>
          <w:szCs w:val="18"/>
          <w:color w:val="auto"/>
        </w:rPr>
      </w:pPr>
    </w:p>
    <w:p>
      <w:pPr>
        <w:ind w:left="1460" w:hanging="547"/>
        <w:spacing w:after="0" w:line="277" w:lineRule="auto"/>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cash expenditures related to development of certain of our future product candidates would increase significantly and we may need to seek additional financing;</w:t>
      </w:r>
    </w:p>
    <w:p>
      <w:pPr>
        <w:spacing w:after="0" w:line="75" w:lineRule="exact"/>
        <w:rPr>
          <w:rFonts w:ascii="Arial" w:cs="Arial" w:eastAsia="Arial" w:hAnsi="Arial"/>
          <w:sz w:val="18"/>
          <w:szCs w:val="18"/>
          <w:color w:val="auto"/>
        </w:rPr>
      </w:pPr>
    </w:p>
    <w:p>
      <w:pPr>
        <w:ind w:left="1460" w:right="620" w:hanging="547"/>
        <w:spacing w:after="0" w:line="277" w:lineRule="auto"/>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required to hire additional employees or otherwise develop expertise, such as clinical, regulatory, sales and marketing expertise, which we do not currently have;</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will bear all of the risk related to the development of any such product candidates;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competitiveness of any product candidate that is commercialized could be reduced.</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b w:val="1"/>
          <w:bCs w:val="1"/>
          <w:i w:val="1"/>
          <w:iCs w:val="1"/>
          <w:color w:val="auto"/>
        </w:rPr>
        <w:t>We intend to rely on third-party manufacturers to produce our clinical product candidate supplies and any commercial supplies of any approved future product candidates. Any failure by a third-party manufacturer to produce acceptable supplies for us may delay or impair our ability to initiate or complete our clinical trials or sell any resulting product.</w:t>
      </w:r>
    </w:p>
    <w:p>
      <w:pPr>
        <w:spacing w:after="0" w:line="18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We do not currently own or operate any manufacturing facilities. We plan to work with third-party contract manufacturers to produce sufficient quantities of any future product candidates for preclinical testing, clinical trials and commercialization. If we are unable to arrange for such a third-party manufacturing source, or fail to do so on commercially reasonable terms, we may not be able to successfully produce, develop and market our future product candidates, or we may be delayed in doing so.</w:t>
      </w:r>
    </w:p>
    <w:p>
      <w:pPr>
        <w:spacing w:after="0" w:line="187"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Reliance on third-party manufacturers entails risks to which we would not be subject if we manufactured product candidates ourselves, including reliance on the third party for regulatory compliance and quality control and assurance, volume production, the possibility of breach of the manufacturing agreement by the third party because of factors beyond our control (including a failure to synthesize and manufacture our product candidates in accordance with our product specifications) and the possibility of termination or nonrenewal of the agreement by the third party at a time that is costly or damaging to us. In addition, the FDA and other regulatory authorities require that our product candidates be manufactured according to cGMP and similar foreign standards. Pharmaceutical manufacturers and their subcontractors are required to register their facilities and/or products manufactured at the time of submission of the marketing application and then annually thereafter with the FDA and certain state and foreign agencies. They are also subject to periodic unannounced inspections by the FDA, state and other foreign authorities. Any subsequent discovery of problems with a product, or a manufacturing or laboratory facility used by us or our collaborators, may result in restrictions on the product or on the manufacturing or laboratory facility, including marketed product recall, suspension of manufacturing, product seizure, or a voluntary withdrawal of the drug from the market. Any failure by our third-party manufacturers to comply with cGMP or failure to scale up manufacturing processes, including any failure to deliver sufficient quantities of product candidates in a timely manner, could lead to a delay in, or failure to obtain, regulatory approval of any of our product candidates.</w:t>
      </w:r>
    </w:p>
    <w:p>
      <w:pPr>
        <w:spacing w:after="0" w:line="16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plan to rely on third-party manufacturers to purchase from third-party suppliers the materials necessary to produce our future product candidates for our clinical studies. There are a small number of suppliers for certain capital equipment and materials that we plan to use to manufacture our drugs. Such suppliers may not sell these materials to our manufacturers at the times we need them or on commercially reasonable terms. Moreover, we currently do not have any agreements for the production of these materials. Although we do not intend to begin a clinical trial unless we believe we have a sufficient supply of a product candidate to complete the clinical trial, any significant delay in the supply of a product candidate or the material components thereof for an ongoing clinical trial due to the need to replace a third-party manufacturer could considerably delay completion of our clinical studies, product testing and potential regulatory approval of our product candidates. If our manufacturers or we are unable to purchase these materials after regulatory approval has been obtained for our product candidates, the commercial launch of our product candidates would be delayed or there would be a shortage in supply, which would impair our ability to generate revenue from the sale of our product candidates.</w:t>
      </w:r>
    </w:p>
    <w:p>
      <w:pPr>
        <w:spacing w:after="0" w:line="18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Contract manufacturers may not be able to manufacture our product candidates at a cost or in quantities or in a timely manner necessary to develop and commercialize them. If we successfully commercialize any of our product candidates, to meet our projected needs we may need to find third parties that will increase their scale of production, or we may have to establish or access large-scale commercial manufacturing capabilities. We may require additional funds, personnel and other resources to build, lease or operate any manufacturing facility.</w:t>
      </w:r>
    </w:p>
    <w:p>
      <w:pPr>
        <w:spacing w:after="0" w:line="187"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b w:val="1"/>
          <w:bCs w:val="1"/>
          <w:i w:val="1"/>
          <w:iCs w:val="1"/>
          <w:color w:val="auto"/>
        </w:rPr>
        <w:t>Because a portion of our manufacturing of certain key intermediates used in the manufacture of the active pharmaceutical ingredients for our future product candidates is expected to take place in China through third-party manufacturers, a significant disruption in the operation of those manufacturers or political unrest in China could materially adversely affect our business, financial condition and results of operations.</w:t>
      </w:r>
    </w:p>
    <w:p>
      <w:pPr>
        <w:spacing w:after="0" w:line="14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Although manufacturing for our lead product candidates paritaprevir and ABT-493 is being conducted by AbbVie, we have relied on third parties located in China to manufacture and supply certain key intermediates used in the manufacture of our active pharmaceutical ingredients, or API, for our research product candidates, and we expect to continue to use such third party manufacturers for such intermediates for any future product candidates we develop independently. Any disruption in production or inability of our manufacturers in China to produce adequate quantities to meet our needs, whether as a result of a natural disaster or other causes, could impair our ability to operate our business on a day-to-day basis and to continue our research and development of our future product candidates. Furthermore, since these manufacturers are located in China, we are exposed to the possibility of product supply disruption and increased costs in the event of changes in the policies of the Chinese government, political unrest or unstable economic conditions in China. Any of these matters could materially and adversely affect our business and results of operations. Any recall of the manufacturing lots or similar action regarding our API used in clinical trials could delay the trials or detract from the integrity of the trial data and its potential use in future regulatory filings. In addition, manufacturing interruptions or failure to comply with regulatory requirements by any of these manufacturers could significantly delay clinical development of</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potential products and reduce third-party or clinical researcher interest and support of proposed trials. These interruptions or failures could also impede commercialization of our future product candidates and impair our competitive position. Further, we may be exposed to fluctuations in the value of the local currency in China. Future appreciation of the local currency could increase our costs. In addition, our labor costs could continue to rise as wage rates increase due to increased demand for skilled laborers and the availability of skilled labor declines in China.</w:t>
      </w:r>
    </w:p>
    <w:p>
      <w:pPr>
        <w:spacing w:after="0" w:line="187" w:lineRule="exact"/>
        <w:rPr>
          <w:sz w:val="20"/>
          <w:szCs w:val="20"/>
          <w:color w:val="auto"/>
        </w:rPr>
      </w:pPr>
    </w:p>
    <w:p>
      <w:pPr>
        <w:ind w:right="120"/>
        <w:spacing w:after="0" w:line="327" w:lineRule="auto"/>
        <w:rPr>
          <w:sz w:val="20"/>
          <w:szCs w:val="20"/>
          <w:color w:val="auto"/>
        </w:rPr>
      </w:pPr>
      <w:r>
        <w:rPr>
          <w:rFonts w:ascii="Arial" w:cs="Arial" w:eastAsia="Arial" w:hAnsi="Arial"/>
          <w:sz w:val="15"/>
          <w:szCs w:val="15"/>
          <w:b w:val="1"/>
          <w:bCs w:val="1"/>
          <w:i w:val="1"/>
          <w:iCs w:val="1"/>
          <w:color w:val="auto"/>
        </w:rPr>
        <w:t>We will rely on third parties to monitor, support, conduct and/or oversee clinical trials of our future product candidates that we develop independently and, in some cases, to maintain regulatory files for those product candidates. If we are not able to maintain or secure agreements with such third parties on acceptable terms, if these third parties do not perform their services as required, or if these third parties fail to timely transfer any regulatory information held by them to us, we may not be able to obtain regulatory approval for, or commercialize, our product candidates.</w:t>
      </w:r>
    </w:p>
    <w:p>
      <w:pPr>
        <w:spacing w:after="0" w:line="14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We will rely on academic institutions, CROs, hospitals, clinics and other third-party collaborators who are outside our control to monitor, support, conduct and/or oversee preclinical and clinical studies of our future product candidates. We will also rely on third parties to perform clinical trials on our future product candidates when they reach that stage. As a result, we have less control over the timing and cost of these studies and the ability to recruit trial subjects than if we conducted these trials wholly by ourselves. If we are unable to maintain or enter into agreements with these third parties on acceptable terms, or if any such engagement is terminated, we may be unable to enroll patients on a timely basis or otherwise conduct our trials in the manner we anticipate. In addition, there is no guarantee that these third parties will devote adequate time and resources to our studies or perform as required by a contract or in accordance with regulatory requirements, including maintenance of clinical trial information regarding our future product candidates. If these third parties fail to meet expected deadlines, fail to timely transfer to us any regulatory information,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future product candidates may be extended, delayed or terminated, or our data may be rejected by the FDA or regulatory agencies.</w:t>
      </w:r>
    </w:p>
    <w:p>
      <w:pPr>
        <w:spacing w:after="0" w:line="18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To the extent we elect to enter into additional licensing or collaboration agreements to partner our future product candidates, our dependence on such relationships may adversely affect our business.</w:t>
      </w:r>
    </w:p>
    <w:p>
      <w:pPr>
        <w:spacing w:after="0" w:line="1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commercialization strategy for some of our future product candidates may depend on our ability to enter into collaboration agreements with other companies to obtain assistance and funding for the development and potential commercialization of these product candidates, similar to what we have done with AbbVie. Supporting diligence activities conducted by potential collaborators and negotiating the financial and other terms of a collaboration agreement are long and complex processes with uncertain results. Even if we are successful in entering into one or more additional collaboration agreements, collaborations can involve greater uncertainty for us, as we may have limited or no control over certain aspects of our collaborative programs. We may determine that continuing a collaboration under the terms provided is not in our best interest, and we may terminate the collaboration. Our collaborators could delay or terminate their agreements with us, and our product candidates subject to collaborative arrangements may never be successfully commercialized.</w:t>
      </w:r>
    </w:p>
    <w:p>
      <w:pPr>
        <w:spacing w:after="0" w:line="16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Further, our collaborators may develop alternative products or pursue alternative technologies either on their own or in collaboration with others, including our competitors, and the priorities or focus of our collaborators may shift such that our programs receive less attention or resources than we would like, or they may be terminated altogether. Any such actions by our collaborators may adversely affect our business prospects and ability to earn revenue. In addition, we could have disputes with our collaborators, such as the interpretation of terms in our agreements. Any such disagreements could lead to delays in the development or commercialization of any potential products or could result in time-consuming and expensive litigation or arbitration, which may not be resolved in our favor.</w:t>
      </w:r>
    </w:p>
    <w:p>
      <w:pPr>
        <w:spacing w:after="0" w:line="193"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Even with respect to programs that we intend to commercialize ourselves, we may enter into agreements with collaborators to share in the burden of conducting clinical trials, manufacturing and marketing our product candidates or products. In addition, our ability to apply our proprietary technologies to develop proprietary compounds will depend on our ability to establish and maintain licensing arrangements or other collaborative arrangements with the holders of proprietary rights to such compounds. We may not be able to establish such arrangements on favorable terms or at all, and our collaborative arrangements may not be successful.</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Rights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unsuccessful in obtaining or maintaining adequate patent protection for one or more of our product candidates.</w:t>
      </w:r>
    </w:p>
    <w:p>
      <w:pPr>
        <w:spacing w:after="0" w:line="225"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Our commercial success will depend, in large part, on our ability to obtain and maintain patent and other intellectual property protection with respect to our product candidates. We cannot be certain that patents will be issued or granted with respect to our patent applications that are currently pending, or that issued or granted patents will not later be found to be invalid and/or unenforceable, be interpreted in a manner that does not adequately protect our products, or otherwise provide us with any competitive advantage. The patent position of biotechnology and pharmaceutical companies is generally uncertain because it involves complex legal and factual considerations. The standards applied by the United States Patent and Trademark Office and foreign patent offices in granting patents are not always applied uniformly or predictably. For example, there is no uniform worldwide policy regarding patentable subject matter or the scope of claims allowable in biotechnology and pharmaceutical patents. Consequently, patents may not issue from our pending patent applications. As such, we do not know the degree of future protection that we will have on our proprietary products and technology, if any, and a failure to obtain adequate intellectual property protection with respect to our product candidates and proprietary technology could have a material adverse impact on our business.</w:t>
      </w:r>
    </w:p>
    <w:p>
      <w:pPr>
        <w:spacing w:after="0" w:line="16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addition, certain of our activities have been funded, and may in the future be funded, by the United States federal government. For example, the preclinical and early clinical development of our lead antibiotic candidate, which we are no longer planning to develop ourselves, for non-biodefense indications has been funded under a contract with NIAID, an entity of the United States federal government. When new technologies are developed with United States federal government funding, the government obtains certain rights in any resulting patents, including a nonexclusive license authorizing the government to use the invention for non-commercial purposes. These rights may permit the government to disclose our confidential information to third parties and to exercise “march-in” rights to use or allow third parties to use our patented technology. The government can exercise its march-in rights if it determines that action is necessary because we fail to achieve practical application of the United States government-funded technology, or because action is necessary to alleviate health or safety needs, to meet requirements of federal regulations or to give preference to United States industry. In addition, United States government-funded inventions must be reported to the government and United States government funding must be disclosed in any resulting patent applications. In addition, our rights in such inventions are subject to certain requirements to manufacture products in the United States.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one or more of our product candidates could be found invalid or unenforceable if challenged in court.</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Despite measures we take to obtain patent and other intellectual property protection with respect to our product candidates and proprietary technology, any of our intellectual property rights could be challenged or invalidated.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United States Patent and Trademark Office, or the applicable foreign counterpart, or made a misleading statement, during prosecution. Although we believe that we have conducted our patent prosecution in accordance with the duty of candor and in good faith,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Any loss of patent protection could have a material adverse impact on one or more of our product candidates and our business.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Enforcing our intellectual property rights against third parties may also cause such third parties to file other counterclaims against us, which could be costly to defend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Claims that our product candidates or the sale or use of our future products infringe the patent or other intellectual property rights of third parties could result in costly litigation or could require substantial time and money to resolve, even if litigation is avoided.</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Our commercial success depends upon our ability to develop, manufacture, market and sell our product candidates and use our proprietary technology without infringing the intellectual property rights of others. We cannot guarantee that our product candidates or any uses of our product candidates do not and will not in the future infringe third-party patents or other intellectual property rights. Third parties might allege that we or our collaborators are infringing their patent rights or that we have misappropriated their trade secrets, or that we are otherwise violating their intellectual property rights, whether with respect to the manner in which we have conducted our research or to the composition, use or manufacture of the compounds we have developed or are developing with our collaborators. Such third parties might resort to litigation against us or other parties we have agreed to indemnify, which litigation could be based on either existing intellectual property or intellectual property that arises in the future.</w:t>
      </w:r>
    </w:p>
    <w:p>
      <w:pPr>
        <w:spacing w:after="0" w:line="178"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It is also possible that we failed to identify, or may in the future fail to identify, relevant patents or patent applications held by third parties that cover our product candidates. For example, applications filed before November 29, 2000 and certain applications filed after that date that will not be filed outside the United States remain confidential until patents issue. Other patent applications in the United States and several other jurisdictions are published approximately 18 months after the earliest filing for which priority is claimed, with such earliest filing date being commonly referred to as the priority date. Furthermore, publication of discoveries in the scientific or patent literature often lags behind actual discoveries. Therefore, we cannot be certain that we or our collaborators were the first to invent, or the first to file patent applications on, our product candidates or for their uses, or that our product candidates will not infringe patents that are currently issued or that are issued in the future. In the event that a third party has also filed a patent application covering one of our product candidates or a similar invention, we may have to participate in an adversarial proceeding, known as an interference, declared by the U.S. Patent and Trademark Office or its foreign counterpart to determine priority of invention. Additionally, pending patent applications which have been published can, subject to certain limitations, be later amended in a manner that could cover our products or their use.</w:t>
      </w:r>
    </w:p>
    <w:p>
      <w:pPr>
        <w:spacing w:after="0" w:line="178"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In order to avoid or settle potential claims with respect to any patent or other intellectual property rights of third parties, we may choose or be required to seek a license from a third party and be required to pay license fees or royalties or both, which could be substantial. These licenses may not be available on acceptable terms, or at all. Even if we or any future collaborators were able to obtain a license, the rights may be nonexclusive, which could result in our competitors gaining access to the same intellectual property. Ultimately, we could be prevented from commercializing a product, or be forced, by court order or otherwise, to cease some or all aspects of our business operations, if, as a result of actual or threatened patent or other intellectual property claims, we are unable to enter into licenses on acceptable terms. Further, we could be found liable for significant monetary damages as a result of claims of intellectual property infringement. For example, we have received, and may in the future receive, offers to license and demands to license from third parties claiming that we are infringing their intellectual property or owe license fees and, even if such claims are without merit, there can be no assurance that we will successfully avoid or settle such claims.</w:t>
      </w:r>
    </w:p>
    <w:p>
      <w:pPr>
        <w:spacing w:after="0" w:line="19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In addition, if AbbVie licenses or otherwise acquires rights to intellectual property controlled by a third party in various circumstances, for example, where a product could not be legally developed or commercialized in a country without the third-party intellectual property right, it is entitled under our collaboration agreement to decrease payments payable to us on a product-by-product basis and, in certain cases, on a country-by-country basis. Any of the foregoing events could harm our business significantly.</w:t>
      </w:r>
    </w:p>
    <w:p>
      <w:pPr>
        <w:spacing w:after="0" w:line="18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Defending against claims of patent infringement, misappropriation of trade secrets or other violations of intellectual property rights could be costly and time consuming, regardless of the outcome. Thus, even if we were to ultimately prevail, or to settle at an early stage, such litigation could burden us with substantial unanticipated costs. In addition, litigation or threatened litigation could result in significant demands on the time and attention of our management team, distracting them from the pursuit of other company business. Claims that our product candidates or the sale or use of our future products infringe, misappropriate or otherwise violate third-party intellectual property rights could therefore have a material adverse impact on our business.</w:t>
      </w:r>
    </w:p>
    <w:p>
      <w:pPr>
        <w:spacing w:after="0" w:line="15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Unfavorable outcomes in intellectual property litigation could limit our research and development activities and/or our ability to commercialize certain products.</w:t>
      </w:r>
    </w:p>
    <w:p>
      <w:pPr>
        <w:spacing w:after="0" w:line="1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If third parties successfully assert their intellectual property rights against us, we might be barred from using certain aspects of our technology, or barred from developing and commercializing certain products. Prohibitions against using certain technologies, or prohibitions against commercializing certain products, could be imposed by a court or by a settlement agreement between us and a plaintiff. In addition, if we are unsuccessful in defending against allegations that we have infringed, misappropriated or otherwise violated patent or other intellectual property rights of others, we may be forced to pay substantial damage awards to the plaintiff. There is inevitable uncertainty in any litigation, including intellectual property litigation. There can be no assurance that we would prevail in any intellectual property litigation, even if the case against us is weak or flawed. If litigation leads to an outcome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unfavorable to us, we may be required to obtain a license from the intellectual property owner in order to continue our research and development programs or to market any resulting product. It is possible that the necessary license will not be available to us on commercially acceptable terms, or at all. Alternatively, we may be required to modify or redesign our products in order to avoid infringing or otherwise violating third-party intellectual property rights. This may not be technically or commercially feasible, may render our products less competitive, or may delay or prevent the entry of our products to the market. Any of the foregoing could limit our research and development activities, our ability to commercialize one or more product candidates, or both.</w:t>
      </w:r>
    </w:p>
    <w:p>
      <w:pPr>
        <w:spacing w:after="0" w:line="158"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Most of our competitors are larger than we are and have substantially greater resources. They are, therefore, likely to be able to sustain the costs of complex intellectual property litigation longer than we could. In addition, the uncertainties associated with litigation could have a material adverse effect on our ability to raise the funds necessary to conduct our clinical trials, continue our internal research programs, in-license needed technology, or enter into strategic partnerships that would help us bring our product candidates to market.</w:t>
      </w:r>
    </w:p>
    <w:p>
      <w:pPr>
        <w:spacing w:after="0" w:line="18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In addition, any future intellectual property litigation, interference or other administrative proceedings will result in additional expense and distraction of our personnel. An adverse outcome in such litigation or proceedings may expose us or any future strategic partners to loss of our proprietary position, expose us to significant liabilities, or require us to seek licenses that may not be available on commercially acceptable terms, if at all, each of which could have a material adverse effect on our business.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Intellectual property litigation may lead to unfavorable publicity that harms our reputation and causes the market price of our common stock to decline.</w:t>
      </w:r>
    </w:p>
    <w:p>
      <w:pPr>
        <w:spacing w:after="0" w:line="260"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During the course of any intellectual property litigation, there could be public announcements of the results of hearings, rulings on motions, and other interim proceedings in the litigation. If securities analysts or investors regard these announcements as negative, the perceived value of our products, programs or intellectual property could be diminished. Accordingly, the market price of our common stock may decline. Such announcements could also harm our reputation or the market for our future products, which could have a material adverse effect on our business.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Confidentiality agreements with employees and third parties may not prevent unauthorized disclosure of trade secrets and other proprietary information.</w:t>
      </w:r>
    </w:p>
    <w:p>
      <w:pPr>
        <w:spacing w:after="0" w:line="26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addition to patents, we rely on trade secrets, technical know-how and proprietary information concerning our business strategy and product candidates in order to protect our competitive position in the field of HCV, other antivirals and liver disease. In the course of our research and development activities and our business activities, we often rely on confidentiality agreements to protect our proprietary information. Such confidentiality agreements are used, for example, when we talk to vendors of laboratory or clinical development services or potential strategic partners. In addition, each of our employees is required to sign a confidentiality agreement and invention assignment agreement upon joining our company. We take steps to protect our proprietary information, and our confidentiality agreements and invention assignment agreements are carefully drafted to protect our proprietary interests. Nevertheless, there can be no guarantee that an employee or an outside party will not make an unauthorized disclosure of our proprietary confidential information. This might happen intentionally or inadvertently. It is possible that a competitor will make use of such information, and that our competitive position will be compromised, in spite of any legal action we might take against persons making such unauthorized disclosures. In addition, to the extent that our employees, consultants or contractors use intellectual property owned by others in their work for us, disputes may arise as to the rights in related or resulting know-how and inventions.</w:t>
      </w:r>
    </w:p>
    <w:p>
      <w:pPr>
        <w:spacing w:after="0" w:line="169" w:lineRule="exact"/>
        <w:rPr>
          <w:sz w:val="20"/>
          <w:szCs w:val="20"/>
          <w:color w:val="auto"/>
        </w:rPr>
      </w:pPr>
    </w:p>
    <w:p>
      <w:pPr>
        <w:ind w:right="240"/>
        <w:spacing w:after="0" w:line="276" w:lineRule="auto"/>
        <w:rPr>
          <w:sz w:val="20"/>
          <w:szCs w:val="20"/>
          <w:color w:val="auto"/>
        </w:rPr>
      </w:pPr>
      <w:r>
        <w:rPr>
          <w:rFonts w:ascii="Arial" w:cs="Arial" w:eastAsia="Arial" w:hAnsi="Arial"/>
          <w:sz w:val="17"/>
          <w:szCs w:val="17"/>
          <w:color w:val="auto"/>
        </w:rPr>
        <w:t>Trade secrets are difficult to protect. Although we use reasonable efforts to protect our trade secrets, our employees, consultants, contractors, business partners or outside scientific collaborators might intentionally or inadvertently disclose our trade secret information to competitors or our trade secrets may otherwise be misappropriated. Enforcing a claim that a third party illegally obtained and is using any of our trade secrets is expensive and time consuming, and the outcome is unpredictable. In addition, courts outside the United States sometimes are less willing than United States courts to protect trade secrets. Moreover, our competitors may independently develop equivalent knowledge, methods and know-how.</w:t>
      </w:r>
    </w:p>
    <w:p>
      <w:pPr>
        <w:spacing w:after="0" w:line="17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Our collaborators may have rights to publish data and other information to which we have rights. In addition, we sometimes engage individuals or entities to conduct research relevant to our business. The ability of these individuals or entities to publish or otherwise publicly disclose data and other information generated during the course of their research is subject to certain contractual limitations. These contractual provisions may be insufficient or inadequate to protect our confidential information. If we do not apply for patent protection prior to such publication, or if we cannot otherwise maintain the confidentiality of our proprietary technology and other confidential information, then our ability to obtain patent protection or to protect our trade secret information may be jeopardized, which could adversely affect our business.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protect us from all potential threats to our competitive advantage.</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76" w:lineRule="exact"/>
        <w:rPr>
          <w:sz w:val="20"/>
          <w:szCs w:val="20"/>
          <w:color w:val="auto"/>
        </w:rPr>
      </w:pPr>
    </w:p>
    <w:p>
      <w:pPr>
        <w:ind w:left="1460" w:right="40" w:hanging="547"/>
        <w:spacing w:after="0" w:line="277" w:lineRule="auto"/>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may be able to make compounds that are similar to our product candidates but that are not covered by the claims of the patents that we or our collaborators own or have exclusively licensed;</w:t>
      </w:r>
    </w:p>
    <w:p>
      <w:pPr>
        <w:spacing w:after="0" w:line="75" w:lineRule="exact"/>
        <w:rPr>
          <w:rFonts w:ascii="Arial" w:cs="Arial" w:eastAsia="Arial" w:hAnsi="Arial"/>
          <w:sz w:val="18"/>
          <w:szCs w:val="18"/>
          <w:color w:val="auto"/>
        </w:rPr>
      </w:pPr>
    </w:p>
    <w:p>
      <w:pPr>
        <w:ind w:left="1460" w:right="60" w:hanging="547"/>
        <w:spacing w:after="0" w:line="264" w:lineRule="auto"/>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our collaborators or any future collaborators might not have been the first to make the inventions covered by the issued patents or pending patent applications that we own or may in the future exclusively license, which could result in the patent applications not issuing or being invalidated after issuing;</w:t>
      </w:r>
    </w:p>
    <w:p>
      <w:pPr>
        <w:spacing w:after="0" w:line="86" w:lineRule="exact"/>
        <w:rPr>
          <w:rFonts w:ascii="Arial" w:cs="Arial" w:eastAsia="Arial" w:hAnsi="Arial"/>
          <w:sz w:val="18"/>
          <w:szCs w:val="18"/>
          <w:color w:val="auto"/>
        </w:rPr>
      </w:pPr>
    </w:p>
    <w:p>
      <w:pPr>
        <w:ind w:left="1460" w:right="660" w:hanging="547"/>
        <w:spacing w:after="0" w:line="277" w:lineRule="auto"/>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our collaborators or any future collaborators might not have been the first to file patent applications covering certain of our inventions, which could result in the patent applications not issuing or being invalidated after issuing;</w:t>
      </w:r>
    </w:p>
    <w:p>
      <w:pPr>
        <w:spacing w:after="0" w:line="75" w:lineRule="exact"/>
        <w:rPr>
          <w:rFonts w:ascii="Arial" w:cs="Arial" w:eastAsia="Arial" w:hAnsi="Arial"/>
          <w:sz w:val="18"/>
          <w:szCs w:val="18"/>
          <w:color w:val="auto"/>
        </w:rPr>
      </w:pPr>
    </w:p>
    <w:p>
      <w:pPr>
        <w:ind w:left="1460" w:right="160" w:hanging="547"/>
        <w:spacing w:after="0" w:line="302" w:lineRule="auto"/>
        <w:tabs>
          <w:tab w:leader="none" w:pos="1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ownership of the intellectual property arising out of our collaborations is subject to complex legal and factual issues, and in certain circumstances our collaborators may own or jointly own important intellectual property relating to our product candidates. Although we have rights to such intellectual property under our collaboration agreements, such rights could potentially be lost or diminished if the applicable collaboration agreement is terminated, which could affect our ability to commercialize our product candidates;</w:t>
      </w:r>
    </w:p>
    <w:p>
      <w:pPr>
        <w:spacing w:after="0" w:line="59" w:lineRule="exact"/>
        <w:rPr>
          <w:rFonts w:ascii="Arial" w:cs="Arial" w:eastAsia="Arial" w:hAnsi="Arial"/>
          <w:sz w:val="16"/>
          <w:szCs w:val="16"/>
          <w:color w:val="auto"/>
        </w:rPr>
      </w:pPr>
    </w:p>
    <w:p>
      <w:pPr>
        <w:ind w:left="1460" w:right="700" w:hanging="547"/>
        <w:spacing w:after="0" w:line="277" w:lineRule="auto"/>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technologies without infringing our intellectual property rights;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it is possible that our pending patent applications will not lead to issued patents;</w:t>
      </w:r>
    </w:p>
    <w:p>
      <w:pPr>
        <w:spacing w:after="0" w:line="130" w:lineRule="exact"/>
        <w:rPr>
          <w:rFonts w:ascii="Arial" w:cs="Arial" w:eastAsia="Arial" w:hAnsi="Arial"/>
          <w:sz w:val="18"/>
          <w:szCs w:val="18"/>
          <w:color w:val="auto"/>
        </w:rPr>
      </w:pPr>
    </w:p>
    <w:p>
      <w:pPr>
        <w:ind w:left="1460" w:right="20" w:hanging="547"/>
        <w:spacing w:after="0" w:line="279" w:lineRule="auto"/>
        <w:tabs>
          <w:tab w:leader="none" w:pos="1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issued patents that we own or have exclusively licensed may not provide us with any competitive advantages, or may be held invalid or unenforceable, as a result of legal challenges by our competitors; we may obtain patents for certain compounds many years before we obtain marketing approval for products containing such compounds, and because patents have a limited life, which may begin to run prior to the commercial sale of the related product, the commercial value of our patents may be limited;</w:t>
      </w:r>
    </w:p>
    <w:p>
      <w:pPr>
        <w:spacing w:after="0" w:line="76" w:lineRule="exact"/>
        <w:rPr>
          <w:rFonts w:ascii="Arial" w:cs="Arial" w:eastAsia="Arial" w:hAnsi="Arial"/>
          <w:sz w:val="17"/>
          <w:szCs w:val="17"/>
          <w:color w:val="auto"/>
        </w:rPr>
      </w:pPr>
    </w:p>
    <w:p>
      <w:pPr>
        <w:ind w:left="1460" w:right="460" w:hanging="547"/>
        <w:spacing w:after="0" w:line="308" w:lineRule="auto"/>
        <w:tabs>
          <w:tab w:leader="none" w:pos="1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51" w:lineRule="exact"/>
        <w:rPr>
          <w:rFonts w:ascii="Arial" w:cs="Arial" w:eastAsia="Arial" w:hAnsi="Arial"/>
          <w:sz w:val="17"/>
          <w:szCs w:val="17"/>
          <w:color w:val="auto"/>
        </w:rPr>
      </w:pPr>
    </w:p>
    <w:p>
      <w:pPr>
        <w:ind w:left="1460" w:hanging="547"/>
        <w:spacing w:after="0"/>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may fail to develop additional proprietary technologies that are patentable;</w:t>
      </w:r>
    </w:p>
    <w:p>
      <w:pPr>
        <w:spacing w:after="0" w:line="130" w:lineRule="exact"/>
        <w:rPr>
          <w:rFonts w:ascii="Arial" w:cs="Arial" w:eastAsia="Arial" w:hAnsi="Arial"/>
          <w:sz w:val="18"/>
          <w:szCs w:val="18"/>
          <w:color w:val="auto"/>
        </w:rPr>
      </w:pPr>
    </w:p>
    <w:p>
      <w:pPr>
        <w:ind w:left="1460" w:right="60" w:hanging="547"/>
        <w:spacing w:after="0" w:line="308" w:lineRule="auto"/>
        <w:tabs>
          <w:tab w:leader="none" w:pos="1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laws of certain foreign countries may not protect our intellectual property rights to the same extent as the laws of the United States, or we may fail to apply for or obtain adequate intellectual property protection in all the jurisdictions in which we operate; and</w:t>
      </w:r>
    </w:p>
    <w:p>
      <w:pPr>
        <w:spacing w:after="0" w:line="51" w:lineRule="exact"/>
        <w:rPr>
          <w:rFonts w:ascii="Arial" w:cs="Arial" w:eastAsia="Arial" w:hAnsi="Arial"/>
          <w:sz w:val="17"/>
          <w:szCs w:val="17"/>
          <w:color w:val="auto"/>
        </w:rPr>
      </w:pPr>
    </w:p>
    <w:p>
      <w:pPr>
        <w:ind w:left="1460" w:right="560" w:hanging="547"/>
        <w:spacing w:after="0" w:line="277" w:lineRule="auto"/>
        <w:tabs>
          <w:tab w:leader="none" w:pos="1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 for example by preventing us from marketing one or more of our product candidates for one or more indications.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Any of the aforementioned threats to our competitive advantage could have a material adverse effect on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patent law could diminish the value of patents in general, thereby impairing our ability to protect our products.</w:t>
      </w:r>
    </w:p>
    <w:p>
      <w:pPr>
        <w:spacing w:after="0" w:line="225"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is the case with many other biopharmaceutical companies, our success is heavily dependent on intellectual property, particularly patents. Obtaining, maintaining and enforcing patents in the biopharmaceutical industry involves both technological complexity and legal complexity. Therefore, obtaining, maintaining and enforcing biopharmaceutical patents is costly, time-consuming and inherently uncertain. In addition, recent legislative and judicial developments in the United States and elsewhere have in some cases narrowed the protection afforded to patent owners, made patents more difficult to obtain, or increased the uncertainty regarding the ability to obtain, maintain and enforce patents. For example, Congress recently passed patent reform legislation, and may pass patent reform legislation in the future. The United States Supreme Court has ruled on several patent cases in recent years, and in certain circumstances has narrowed the scope of patent protection available or otherwise weakened the rights of patent owners. In addition to increasing uncertainty with regard to our ability to obtain patents in the future, this combination of events has created uncertainty with respect to the value of patents, once obtained. Depending on decisions and actions by the United States Congress, the federal courts, the United States Patent and Trademark Office, and their respective foreign counterparts, the laws and regulations governing patents could change in unpredictable ways that could weaken our ability to obtain new patents or to maintain and enforce our existing patents and patents that we might obtain in the future.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Industry</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Unstable market and economic conditions may have serious adverse consequences on our business, financial condition and stock price.</w:t>
      </w:r>
    </w:p>
    <w:p>
      <w:pPr>
        <w:spacing w:after="0" w:line="23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has been widely reported, global credit and financial markets have been experiencing extreme disruptions over the past several years, including declines in consumer confidence, declines in economic growth, and uncertainty about economic stability. There can be no assurance that deterioration in credit and financial markets and confidence in economic conditions will not occur. Our general business strategy may be adversely affected by the volatile business environment and continued unpredictable and unstable market conditions, particularly for securities of biotechnology companies such as our common stock. There is a possibility that our stock price may decline, due in part to the volatility of the stock market and any general economic downturn. If the current equity and credit markets become more volatile, deteriorate or do not improve, it may make any necessary debt or equity financing more difficult to secure, more costly and/or more dilutive. Failure to secure any necessary financing in a timely manner and on favorable terms could have a material adverse effect on our growth strategy, financial performance and stock price and could require us to delay or abandon our business and clinical development plans. In addition, there is a risk that one or more of our current service providers, manufacturers and other partners may not survive these difficult economic times, which could directly affect our ability to attain our operating goals on schedule and on budget.</w:t>
      </w:r>
    </w:p>
    <w:p>
      <w:pPr>
        <w:spacing w:after="0" w:line="17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70"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we will face an even greater risk if we commercialize any product candidates. For example, we may be sued if any of our product candidates, including any that are developed in combination therapies, allegedly causes injury or is found to be otherwise unsuitable during product testing, manufacturing, marketing or sale. Any such product liability claims may include allegations of defects in manufacturing, defects in design, a failure to warn of dangers inherent in the product, negligence, strict liability and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There is also risk that third parties we have agreed to indemnify could incur liability.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Regardless of the merits or eventual outcome, liability claims may result in:</w:t>
      </w:r>
    </w:p>
    <w:p>
      <w:pPr>
        <w:spacing w:after="0" w:line="131" w:lineRule="exact"/>
        <w:rPr>
          <w:sz w:val="20"/>
          <w:szCs w:val="20"/>
          <w:color w:val="auto"/>
        </w:rPr>
      </w:pPr>
    </w:p>
    <w:p>
      <w:pPr>
        <w:ind w:left="1460" w:hanging="547"/>
        <w:spacing w:after="0"/>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decreased demand for our product candidates or any resulting products;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decline in our stock price.</w:t>
      </w:r>
    </w:p>
    <w:p>
      <w:pPr>
        <w:spacing w:after="0" w:line="22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inability to obtain and retain sufficient product liability insurance at an acceptable cost to protect against potential product liability claims could prevent or inhibit the commercialization of products we develop. We currently carry product liability insurance covering our clinical studies in the amount of</w:t>
      </w:r>
    </w:p>
    <w:p>
      <w:pPr>
        <w:ind w:right="140"/>
        <w:spacing w:after="0" w:line="253" w:lineRule="auto"/>
        <w:rPr>
          <w:sz w:val="20"/>
          <w:szCs w:val="20"/>
          <w:color w:val="auto"/>
        </w:rPr>
      </w:pPr>
      <w:r>
        <w:rPr>
          <w:rFonts w:ascii="Arial" w:cs="Arial" w:eastAsia="Arial" w:hAnsi="Arial"/>
          <w:sz w:val="18"/>
          <w:szCs w:val="18"/>
          <w:color w:val="auto"/>
        </w:rPr>
        <w:t>$5.0 million in the aggregate. Although we maintain such insurance, any claim that may be brought against us could result in a court judgment or settlement in an amount that is not covered, in whole or in part, by our insurance or that is in excess of the limits of our insurance coverage. Our insurance policies also have various exclusions, and we may be subject to a product liability claim for which we have no coverage. We will have to pay any amounts awarded by a court or negotiated in a settlement that exceed our coverage limitations or that are not covered by our insurance, and we may not have, or be able to obtain, sufficient capital to pay such amounts.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b w:val="1"/>
          <w:bCs w:val="1"/>
          <w:i w:val="1"/>
          <w:iCs w:val="1"/>
          <w:color w:val="auto"/>
        </w:rPr>
        <w:t>Our relationships with customers and third-party payors in the United States and elsewhere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Healthcare providers, physicians and third-party payors in the United States and elsewhere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state and foreign healthcare laws and regulations include the following:</w:t>
      </w:r>
    </w:p>
    <w:p>
      <w:pPr>
        <w:spacing w:after="0" w:line="94" w:lineRule="exact"/>
        <w:rPr>
          <w:sz w:val="20"/>
          <w:szCs w:val="20"/>
          <w:color w:val="auto"/>
        </w:rPr>
      </w:pPr>
    </w:p>
    <w:p>
      <w:pPr>
        <w:ind w:left="1460" w:right="180" w:hanging="547"/>
        <w:spacing w:after="0" w:line="259" w:lineRule="auto"/>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healthcare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w:t>
      </w:r>
    </w:p>
    <w:p>
      <w:pPr>
        <w:spacing w:after="0" w:line="92" w:lineRule="exact"/>
        <w:rPr>
          <w:rFonts w:ascii="Arial" w:cs="Arial" w:eastAsia="Arial" w:hAnsi="Arial"/>
          <w:sz w:val="18"/>
          <w:szCs w:val="18"/>
          <w:color w:val="auto"/>
        </w:rPr>
      </w:pPr>
    </w:p>
    <w:p>
      <w:pPr>
        <w:jc w:val="both"/>
        <w:ind w:left="1460" w:right="40" w:hanging="547"/>
        <w:spacing w:after="0" w:line="286" w:lineRule="auto"/>
        <w:tabs>
          <w:tab w:leader="none" w:pos="1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 xml:space="preserve">the federal False Claims Act imposes criminal and civil penalties, including civil whistleblower or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70" w:lineRule="exact"/>
        <w:rPr>
          <w:rFonts w:ascii="Arial" w:cs="Arial" w:eastAsia="Arial" w:hAnsi="Arial"/>
          <w:sz w:val="17"/>
          <w:szCs w:val="17"/>
          <w:color w:val="auto"/>
        </w:rPr>
      </w:pPr>
    </w:p>
    <w:p>
      <w:pPr>
        <w:ind w:left="1460" w:right="20" w:hanging="547"/>
        <w:spacing w:after="0" w:line="259" w:lineRule="auto"/>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as amended by the Health Information Technology for Economic and Clinical Health Act,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92" w:lineRule="exact"/>
        <w:rPr>
          <w:rFonts w:ascii="Arial" w:cs="Arial" w:eastAsia="Arial" w:hAnsi="Arial"/>
          <w:sz w:val="18"/>
          <w:szCs w:val="18"/>
          <w:color w:val="auto"/>
        </w:rPr>
      </w:pPr>
    </w:p>
    <w:p>
      <w:pPr>
        <w:ind w:left="1460" w:right="160" w:hanging="547"/>
        <w:spacing w:after="0" w:line="308" w:lineRule="auto"/>
        <w:tabs>
          <w:tab w:leader="none" w:pos="1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51" w:lineRule="exact"/>
        <w:rPr>
          <w:rFonts w:ascii="Arial" w:cs="Arial" w:eastAsia="Arial" w:hAnsi="Arial"/>
          <w:sz w:val="17"/>
          <w:szCs w:val="17"/>
          <w:color w:val="auto"/>
        </w:rPr>
      </w:pPr>
    </w:p>
    <w:p>
      <w:pPr>
        <w:ind w:left="1460" w:right="380" w:hanging="547"/>
        <w:spacing w:after="0" w:line="286" w:lineRule="auto"/>
        <w:tabs>
          <w:tab w:leader="none" w:pos="1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federal transparency requirements under the Patient Protection and Affordable Care Act of 2010 requires manufacturers of drugs, devices, biologics and medical supplies to report to the Department of Health and Human Services information related to physician payments and other transfers of value and physician ownership and investment interests;</w:t>
      </w:r>
    </w:p>
    <w:p>
      <w:pPr>
        <w:spacing w:after="0" w:line="70" w:lineRule="exact"/>
        <w:rPr>
          <w:rFonts w:ascii="Arial" w:cs="Arial" w:eastAsia="Arial" w:hAnsi="Arial"/>
          <w:sz w:val="17"/>
          <w:szCs w:val="17"/>
          <w:color w:val="auto"/>
        </w:rPr>
      </w:pPr>
    </w:p>
    <w:p>
      <w:pPr>
        <w:ind w:left="1460" w:right="20" w:hanging="547"/>
        <w:spacing w:after="0" w:line="297" w:lineRule="auto"/>
        <w:tabs>
          <w:tab w:leader="none" w:pos="14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analogous state laws and regulations, such as state anti-kickback and false claims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w:t>
      </w:r>
    </w:p>
    <w:p>
      <w:pPr>
        <w:spacing w:after="0" w:line="63" w:lineRule="exact"/>
        <w:rPr>
          <w:rFonts w:ascii="Arial" w:cs="Arial" w:eastAsia="Arial" w:hAnsi="Arial"/>
          <w:sz w:val="16"/>
          <w:szCs w:val="16"/>
          <w:color w:val="auto"/>
        </w:rPr>
      </w:pPr>
    </w:p>
    <w:p>
      <w:pPr>
        <w:ind w:left="1460" w:hanging="547"/>
        <w:spacing w:after="0"/>
        <w:tabs>
          <w:tab w:leader="none" w:pos="1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analogous anti-kickback, fraud and abuse and healthcare laws and regulations in foreign countries.</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which could have a material adverse effect on our business. If any of the physicians or other providers or entities with whom we expect to do business, including our collaborators, are found not to be in compliance with applicable laws, they may be subject to criminal, civil or administrative sanctions, including exclusions from government funded healthcare programs, which could also materially affect our business.</w:t>
      </w:r>
    </w:p>
    <w:p>
      <w:pPr>
        <w:spacing w:after="0" w:line="17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70"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or our or third parties’ disposal of hazardous materials, we could be held liable for any resulting damages, and any liability could exceed our resources. We also could incur significant costs associated with civil or criminal fines and penalties.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We may incur substantial costs in order to comply with current or future environmental, health and safety laws and regulations. These current or future laws and regulations may impair our research, development or production efforts. Failure to comply with these laws and regulations also may result in substantial fines, penalties or other sanctions.</w:t>
      </w:r>
    </w:p>
    <w:p>
      <w:pPr>
        <w:spacing w:after="0" w:line="18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or radioactive materials.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and is likely to continue to be, volatile, and thus our stockholders could incur substantial losses.</w:t>
      </w:r>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Our stock price has been volatile and could be subject to wide fluctuations in response to various factors, many of which are beyond our control. Since our initial public offering in March 2013, the price of our common stock on The NASDAQ Global Select Market has ranged from $17.18 to $52.58. The stock market in general and the market for biopharmaceutical companies, and for those developing potential therapies for HCV in particular, have experienced extreme volatility that has often been unrelated to the operating performance of particular companies. As a result of this volatility, you may not be able to sell your common stock at or above your purchase price, if at all. The market price for our common stock may be influenced by many factors, including:</w:t>
      </w:r>
    </w:p>
    <w:p>
      <w:pPr>
        <w:spacing w:after="0" w:line="64" w:lineRule="exact"/>
        <w:rPr>
          <w:sz w:val="20"/>
          <w:szCs w:val="20"/>
          <w:color w:val="auto"/>
        </w:rPr>
      </w:pPr>
    </w:p>
    <w:p>
      <w:pPr>
        <w:ind w:left="1460" w:right="40" w:hanging="547"/>
        <w:spacing w:after="0" w:line="277" w:lineRule="auto"/>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actions by any of our collaborators regarding our product candidates they are developing, including announcements regarding clinical or regulatory developments or our collaboration;</w:t>
      </w:r>
    </w:p>
    <w:p>
      <w:pPr>
        <w:spacing w:after="0" w:line="75" w:lineRule="exact"/>
        <w:rPr>
          <w:rFonts w:ascii="Arial" w:cs="Arial" w:eastAsia="Arial" w:hAnsi="Arial"/>
          <w:sz w:val="18"/>
          <w:szCs w:val="18"/>
          <w:color w:val="auto"/>
        </w:rPr>
      </w:pPr>
    </w:p>
    <w:p>
      <w:pPr>
        <w:ind w:left="1460" w:right="160" w:hanging="547"/>
        <w:spacing w:after="0" w:line="277" w:lineRule="auto"/>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results from or delays of clinical trials of our product candidates, as well as results of regulatory reviews relating to the approval of our product candidates;</w:t>
      </w:r>
    </w:p>
    <w:p>
      <w:pPr>
        <w:spacing w:after="0" w:line="75" w:lineRule="exact"/>
        <w:rPr>
          <w:rFonts w:ascii="Arial" w:cs="Arial" w:eastAsia="Arial" w:hAnsi="Arial"/>
          <w:sz w:val="18"/>
          <w:szCs w:val="18"/>
          <w:color w:val="auto"/>
        </w:rPr>
      </w:pPr>
    </w:p>
    <w:p>
      <w:pPr>
        <w:ind w:left="1460" w:right="80" w:hanging="547"/>
        <w:spacing w:after="0" w:line="277" w:lineRule="auto"/>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new products, product candidates or new uses for existing products or technologies introduced or announced by our competitors and the timing of these introductions or announcements;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or our collaborator’s decision to initiate a clinical trial, not to initiate a clinical trial or to terminate an existing clinical trial;</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results of our efforts to discover or develop additional product candidates;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dependence on third parties, including our collaborators, CROs, clinical trial sponsors and clinical investigators;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or other countries;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recruitment or departure of key scientific or management personnel;</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commercialize our future product candidates we develop independently, if approved;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clinical development programs;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actual or anticipated changes in estimates as to financial results, development timelines or recommendations by securities analysts;</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sales of common stock by us or our stockholders in the future, as well as the overall trading volume of our common stock;</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30" w:lineRule="exact"/>
        <w:rPr>
          <w:rFonts w:ascii="Arial" w:cs="Arial" w:eastAsia="Arial" w:hAnsi="Arial"/>
          <w:sz w:val="18"/>
          <w:szCs w:val="18"/>
          <w:color w:val="auto"/>
        </w:rPr>
      </w:pPr>
    </w:p>
    <w:p>
      <w:pPr>
        <w:ind w:left="1460" w:right="80" w:hanging="547"/>
        <w:spacing w:after="0" w:line="277" w:lineRule="auto"/>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 other factors that may be unrelated to our operating performance or the operating performance of our competitors, including changes in market valuations of similar companies;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40"/>
          </w:cols>
          <w:pgMar w:left="240" w:top="459" w:right="31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Provisions in our corporate charter and our bylaws may discourage, delay or prevent a merger, acquisition or other change in control of us that stockholders may consider favorable, including transactions in which they might otherwise receive a premium for their shares.</w:t>
      </w:r>
    </w:p>
    <w:p>
      <w:pPr>
        <w:spacing w:after="0" w:line="170"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92" w:lineRule="exact"/>
        <w:rPr>
          <w:sz w:val="20"/>
          <w:szCs w:val="20"/>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a classified or staggered board of directors such that not all members of the board are elected at one time;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130" w:lineRule="exact"/>
        <w:rPr>
          <w:rFonts w:ascii="Arial" w:cs="Arial" w:eastAsia="Arial" w:hAnsi="Arial"/>
          <w:sz w:val="18"/>
          <w:szCs w:val="18"/>
          <w:color w:val="auto"/>
        </w:rPr>
      </w:pPr>
    </w:p>
    <w:p>
      <w:pPr>
        <w:ind w:left="1460" w:right="400" w:hanging="547"/>
        <w:spacing w:after="0" w:line="277" w:lineRule="auto"/>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75" w:lineRule="exact"/>
        <w:rPr>
          <w:rFonts w:ascii="Arial" w:cs="Arial" w:eastAsia="Arial" w:hAnsi="Arial"/>
          <w:sz w:val="18"/>
          <w:szCs w:val="18"/>
          <w:color w:val="auto"/>
        </w:rPr>
      </w:pPr>
    </w:p>
    <w:p>
      <w:pPr>
        <w:ind w:left="1460" w:right="80" w:hanging="547"/>
        <w:spacing w:after="0" w:line="277" w:lineRule="auto"/>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that stockholder actions must be effected at a duly called stockholder meeting and prohibit actions by our stockholders by written consent;</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130" w:lineRule="exact"/>
        <w:rPr>
          <w:rFonts w:ascii="Arial" w:cs="Arial" w:eastAsia="Arial" w:hAnsi="Arial"/>
          <w:sz w:val="18"/>
          <w:szCs w:val="18"/>
          <w:color w:val="auto"/>
        </w:rPr>
      </w:pPr>
    </w:p>
    <w:p>
      <w:pPr>
        <w:ind w:left="1460" w:right="220" w:hanging="547"/>
        <w:spacing w:after="0" w:line="286" w:lineRule="auto"/>
        <w:tabs>
          <w:tab w:leader="none" w:pos="14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provide our board of directors with the authority to designate the terms of and issue a new series of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70" w:lineRule="exact"/>
        <w:rPr>
          <w:rFonts w:ascii="Arial" w:cs="Arial" w:eastAsia="Arial" w:hAnsi="Arial"/>
          <w:sz w:val="17"/>
          <w:szCs w:val="17"/>
          <w:color w:val="auto"/>
        </w:rPr>
      </w:pPr>
    </w:p>
    <w:p>
      <w:pPr>
        <w:ind w:left="1460" w:right="220" w:hanging="547"/>
        <w:spacing w:after="0" w:line="277" w:lineRule="auto"/>
        <w:tabs>
          <w:tab w:leader="none" w:pos="1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 the approval of the holders of at least 66 2/3% of the votes that all our stockholders would be entitled to cast to amend or repeal certain provisions of our charter or bylaws.</w:t>
      </w:r>
    </w:p>
    <w:p>
      <w:pPr>
        <w:spacing w:after="0" w:line="170"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which prohibit a person who owns 15% or more of our outstanding voting stock from merging or combining with us for a period of three years after the date of the transaction in which the person acquired in excess of 15% of our outstanding voting stock, unless the merger or combination is approved in a prescribed manner. Any provision in our corporate charter or our bylaws or Delaware law that has the effect of delaying or deterring a change in control could limit the opportunity for our stockholders to receive a premium for their shares of our common stock, and could also affect the price that some investors are willing to pay for our common stock.</w:t>
      </w:r>
    </w:p>
    <w:p>
      <w:pPr>
        <w:spacing w:after="0" w:line="19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Our employment agreements with our named executive officers may require us to pay severance benefits to any of those persons who are terminated in connection with a change of control of us, which could harm our financial condition or results.</w:t>
      </w:r>
    </w:p>
    <w:p>
      <w:pPr>
        <w:spacing w:after="0" w:line="170"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named executive officers are parties to employment agreements that provide for aggregate cash payments of up to approximately $3.3 million for severance and other non-equity-based benefits in the event of a termination of employment in connection with a change of control of our company. In addition, based on the March 31, 2015 closing price of our common stock at $30.62 per share, the aggregate intrinsic value of unvested stock options and other equity awards subject to accelerated vesting upon these events was $4.3 million as of March 31, 2015. The accelerated vesting of options could result in dilution to our stockholders and harm the market price of our common stock. The payment of these severance benefits could harm our company’s financial condition and results. In addition, these potential severance payments may discourage or prevent third parties from seeking a business combination with us.</w:t>
      </w:r>
    </w:p>
    <w:p>
      <w:pPr>
        <w:spacing w:after="0" w:line="16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reporting requirements applicable to “emerging growth companies” will make our common stock less attractive to investors.</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not being required to comply with the auditor attestation requirements of Section 404 of the Sarbanes-Oxley Act of 2002, reduced disclosure obligations regarding executive compensation in our periodic reports and proxy statements and exemptions from the requirements of holding a nonbinding advisory vote on executive compensation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and stockholder approval of any golden parachute payments not previously approved. As an “emerging growth company” we are required to report periodic financial results and selected financial data related to two fiscal years compared to three and five years, respectively, for comparable data required to be reported by other public companies in selected SEC reports. We may take advantage of these exemptions until we are no longer an “emerging growth company.” We could be an “emerging growth company” until September 30, 2018, although circumstances could cause us to lose that status earlier, including if the market value of our common stock held by non-affiliates exceeds $700 million as of any March 31 (the end of our second fiscal quarter) before that time, in which case we would no longer be an “emerging growth company” as of the following September 30 (our fiscal year end).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16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Under the JOBS Act, “emerging growth companies” can also delay adopting new or revised accounting standards until such time as those standards apply to private companies. We have irrevocably elected not to avail ourselves of this exemption to delay the adoption of new or revised accounting standards and, therefore, will be subject to adopting new or revised accounting standards at the same time as other public companies that are not “emerging growth companies.”</w:t>
      </w:r>
    </w:p>
    <w:p>
      <w:pPr>
        <w:spacing w:after="0" w:line="18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of 2002,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 internal controls could also cause investors to lose confidence in our reported financial information, which could have a negative effect on the trading price of our common stock.</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are required to disclose changes made in our internal controls and procedures on a quarterly basis and our management is required to assess the effectiveness of these controls annually. However, for as long as we are an “emerging growth company” under the JOBS Act, our independent registered public accounting firm will not be required to attest to the effectiveness of our internal controls over financial reporting pursuant to Section 404. We could be an “emerging growth company” until September 30, 2018. An independent assessment of the effectiveness of our internal controls could detect problems that our management’s assessment might not. Undetected material weaknesses in our internal controls could lead to financial statement restatements and require us to incur the expense of remediation.</w:t>
      </w:r>
    </w:p>
    <w:p>
      <w:pPr>
        <w:spacing w:after="0" w:line="19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cash dividends on our common stock for the foreseeable future, investors in our common stock may never receive a return on their investment.</w:t>
      </w:r>
    </w:p>
    <w:p>
      <w:pPr>
        <w:spacing w:after="0" w:line="170"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color w:val="auto"/>
        </w:rPr>
        <w:t>You should not rely on an investment in our common stock to provide dividend income. We do not anticipate that we will pay any cash dividends to holders of our common stock in the foreseeable future. Instead, we plan to retain any earnings to maintain and expand our existing operations.</w:t>
      </w:r>
    </w:p>
    <w:p>
      <w:pPr>
        <w:spacing w:after="0" w:line="147"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Accordingly, investors must rely on sales of their common stock after price appreciation, which may never occur, as the only way to realize any return on their investment. As a result, investors seeking cash dividends should not invest in our common stock.</w:t>
      </w:r>
    </w:p>
    <w:p>
      <w:pPr>
        <w:spacing w:after="0" w:line="170" w:lineRule="exact"/>
        <w:rPr>
          <w:sz w:val="20"/>
          <w:szCs w:val="20"/>
          <w:color w:val="auto"/>
        </w:rPr>
      </w:pPr>
    </w:p>
    <w:p>
      <w:pPr>
        <w:ind w:right="920"/>
        <w:spacing w:after="0" w:line="277" w:lineRule="auto"/>
        <w:rPr>
          <w:sz w:val="20"/>
          <w:szCs w:val="20"/>
          <w:color w:val="auto"/>
        </w:rPr>
      </w:pPr>
      <w:r>
        <w:rPr>
          <w:rFonts w:ascii="Arial" w:cs="Arial" w:eastAsia="Arial" w:hAnsi="Arial"/>
          <w:sz w:val="18"/>
          <w:szCs w:val="18"/>
          <w:b w:val="1"/>
          <w:bCs w:val="1"/>
          <w:i w:val="1"/>
          <w:iCs w:val="1"/>
          <w:color w:val="auto"/>
        </w:rPr>
        <w:t>A sale of a substantial number of shares of our common stock in the public market could cause the market price of our common stock to drop significantly, even if our business is doing well.</w:t>
      </w:r>
    </w:p>
    <w:p>
      <w:pPr>
        <w:spacing w:after="0" w:line="17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As of March 31, 2015, we had outstanding 18,690,395 shares of common stock. In addition, 2,264,422 shares of common stock that are either subject to outstanding options or reserved for future issuance under our equity plans are eligible for sale in the public market to the extent permitted by the provisions of various vesting schedules, and Rules 144 and 701 under the Securities Act. If these additional shares of common stock are sold, or it is perceived that they will be sold, in the public market, the trading price of our common stock could decline.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trading market for our common stock will depend in part on the research and reports that securities or industry analysts publish about us or our business. If too few securities or industry analysts cover our company, the trading price for our stock would likely be negatively impacted. In the event that one or more of the analysts who cover us downgrade our stock or publish inaccurate or unfavorable research about our business, our stock price would likely decline. If one or more of these analysts cease coverage of our company or fail to publish reports on us regularly, demand for our stock could decrease, which might cause our stock price and trading volume to decline.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the Sale of Registered Securities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March 2013, we completed our IPO of 4,600,000 shares of our common stock at a public offering price of $14.00 per share. The offer and sale of the shares in the offering were registered pursuant to a registration statement on Form S-1 (File No. 333-184779), which was declared effective by the Securities and Exchange Commission on March 20, 2013.</w:t>
      </w:r>
    </w:p>
    <w:p>
      <w:pPr>
        <w:spacing w:after="0" w:line="18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of March 31, 2015, we have used approximately $27.4 million of the net proceeds from the IPO to fund our programs for the development of a cyclophilin inhibitor candidate and the development of a nucleotide polymerase inhibitor candidate and to fund new research and development activities. None of the net proceeds has been paid directly or indirectly to any of our directors or officers (or their associates) or persons owning ten percent or more of any class of our equity securities or to any other affiliates. The balance of the net proceeds from the offering has been invested in cash and cash equivalents and in short-term and long-term marketable securities, consisting of investment grade, interest bearing instruments and U.S. government securities, with maturities of no longer than 38 months. These investments are reflected in cash and cash equivalents, short-term marketable securities and long-term marketable securities on our balance sheet at March 31, 2015. There has been no material change in the expected use of the net proceeds from our IPO as described in our registration statement on Form S-1.</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5920" w:type="dxa"/>
            <w:vAlign w:val="bottom"/>
            <w:gridSpan w:val="3"/>
          </w:tcPr>
          <w:p>
            <w:pPr>
              <w:ind w:left="3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558"/>
        </w:trPr>
        <w:tc>
          <w:tcPr>
            <w:tcW w:w="76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2440" w:type="dxa"/>
            <w:vAlign w:val="bottom"/>
          </w:tcPr>
          <w:p>
            <w:pPr>
              <w:spacing w:after="0"/>
              <w:rPr>
                <w:sz w:val="24"/>
                <w:szCs w:val="24"/>
                <w:color w:val="auto"/>
              </w:rPr>
            </w:pPr>
          </w:p>
        </w:tc>
        <w:tc>
          <w:tcPr>
            <w:tcW w:w="3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0" w:type="dxa"/>
            <w:vAlign w:val="bottom"/>
          </w:tcPr>
          <w:p>
            <w:pPr>
              <w:spacing w:after="0"/>
              <w:rPr>
                <w:sz w:val="1"/>
                <w:szCs w:val="1"/>
                <w:color w:val="auto"/>
              </w:rPr>
            </w:pPr>
          </w:p>
        </w:tc>
      </w:tr>
      <w:tr>
        <w:trPr>
          <w:trHeight w:val="185"/>
        </w:trPr>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2440" w:type="dxa"/>
            <w:vAlign w:val="bottom"/>
          </w:tcPr>
          <w:p>
            <w:pPr>
              <w:spacing w:after="0"/>
              <w:rPr>
                <w:sz w:val="16"/>
                <w:szCs w:val="16"/>
                <w:color w:val="auto"/>
              </w:rPr>
            </w:pPr>
          </w:p>
        </w:tc>
        <w:tc>
          <w:tcPr>
            <w:tcW w:w="3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3.1</w:t>
            </w:r>
          </w:p>
        </w:tc>
        <w:tc>
          <w:tcPr>
            <w:tcW w:w="240" w:type="dxa"/>
            <w:vAlign w:val="bottom"/>
          </w:tcPr>
          <w:p>
            <w:pPr>
              <w:spacing w:after="0"/>
              <w:rPr>
                <w:sz w:val="24"/>
                <w:szCs w:val="24"/>
                <w:color w:val="auto"/>
              </w:rPr>
            </w:pPr>
          </w:p>
        </w:tc>
        <w:tc>
          <w:tcPr>
            <w:tcW w:w="5920" w:type="dxa"/>
            <w:vAlign w:val="bottom"/>
            <w:gridSpan w:val="3"/>
          </w:tcPr>
          <w:p>
            <w:pPr>
              <w:ind w:left="80"/>
              <w:spacing w:after="0"/>
              <w:rPr>
                <w:sz w:val="20"/>
                <w:szCs w:val="20"/>
                <w:color w:val="auto"/>
              </w:rPr>
            </w:pPr>
            <w:r>
              <w:rPr>
                <w:rFonts w:ascii="Arial" w:cs="Arial" w:eastAsia="Arial" w:hAnsi="Arial"/>
                <w:sz w:val="18"/>
                <w:szCs w:val="18"/>
                <w:color w:val="auto"/>
              </w:rPr>
              <w:t>Restated Certificate of Incorporation of Enanta Pharmaceuticals, Inc.</w:t>
            </w:r>
          </w:p>
        </w:tc>
        <w:tc>
          <w:tcPr>
            <w:tcW w:w="0" w:type="dxa"/>
            <w:vAlign w:val="bottom"/>
          </w:tcPr>
          <w:p>
            <w:pPr>
              <w:spacing w:after="0"/>
              <w:rPr>
                <w:sz w:val="1"/>
                <w:szCs w:val="1"/>
                <w:color w:val="auto"/>
              </w:rPr>
            </w:pPr>
          </w:p>
        </w:tc>
      </w:tr>
      <w:tr>
        <w:trPr>
          <w:trHeight w:val="324"/>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24"/>
                <w:szCs w:val="24"/>
                <w:color w:val="auto"/>
              </w:rPr>
            </w:pPr>
          </w:p>
        </w:tc>
        <w:tc>
          <w:tcPr>
            <w:tcW w:w="5920" w:type="dxa"/>
            <w:vAlign w:val="bottom"/>
            <w:gridSpan w:val="3"/>
          </w:tcPr>
          <w:p>
            <w:pPr>
              <w:ind w:left="80"/>
              <w:spacing w:after="0"/>
              <w:rPr>
                <w:sz w:val="20"/>
                <w:szCs w:val="20"/>
                <w:color w:val="auto"/>
              </w:rPr>
            </w:pPr>
            <w:r>
              <w:rPr>
                <w:rFonts w:ascii="Arial" w:cs="Arial" w:eastAsia="Arial" w:hAnsi="Arial"/>
                <w:sz w:val="18"/>
                <w:szCs w:val="18"/>
                <w:color w:val="auto"/>
              </w:rPr>
              <w:t>Amended and Restated Bylaws of Enanta Pharmaceuticals, Inc.</w:t>
            </w:r>
          </w:p>
        </w:tc>
        <w:tc>
          <w:tcPr>
            <w:tcW w:w="0" w:type="dxa"/>
            <w:vAlign w:val="bottom"/>
          </w:tcPr>
          <w:p>
            <w:pPr>
              <w:spacing w:after="0"/>
              <w:rPr>
                <w:sz w:val="1"/>
                <w:szCs w:val="1"/>
                <w:color w:val="auto"/>
              </w:rPr>
            </w:pPr>
          </w:p>
        </w:tc>
      </w:tr>
      <w:tr>
        <w:trPr>
          <w:trHeight w:val="310"/>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24"/>
                <w:szCs w:val="24"/>
                <w:color w:val="auto"/>
              </w:rPr>
            </w:pPr>
          </w:p>
        </w:tc>
        <w:tc>
          <w:tcPr>
            <w:tcW w:w="5920" w:type="dxa"/>
            <w:vAlign w:val="bottom"/>
            <w:gridSpan w:val="3"/>
          </w:tcPr>
          <w:p>
            <w:pPr>
              <w:ind w:left="80"/>
              <w:spacing w:after="0"/>
              <w:rPr>
                <w:sz w:val="20"/>
                <w:szCs w:val="20"/>
                <w:color w:val="auto"/>
              </w:rPr>
            </w:pPr>
            <w:r>
              <w:rPr>
                <w:rFonts w:ascii="Arial" w:cs="Arial" w:eastAsia="Arial" w:hAnsi="Arial"/>
                <w:sz w:val="18"/>
                <w:szCs w:val="18"/>
                <w:color w:val="auto"/>
                <w:w w:val="98"/>
              </w:rPr>
              <w:t>Fourth Amendment to Collaborative Development and License Agreement</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20" w:type="dxa"/>
            <w:vAlign w:val="bottom"/>
            <w:gridSpan w:val="3"/>
          </w:tcPr>
          <w:p>
            <w:pPr>
              <w:ind w:left="80"/>
              <w:spacing w:after="0"/>
              <w:rPr>
                <w:sz w:val="20"/>
                <w:szCs w:val="20"/>
                <w:color w:val="auto"/>
              </w:rPr>
            </w:pPr>
            <w:r>
              <w:rPr>
                <w:rFonts w:ascii="Arial" w:cs="Arial" w:eastAsia="Arial" w:hAnsi="Arial"/>
                <w:sz w:val="18"/>
                <w:szCs w:val="18"/>
                <w:color w:val="auto"/>
              </w:rPr>
              <w:t>between the Company and AbbVie dated as of March 3, 2015.</w:t>
            </w:r>
          </w:p>
        </w:tc>
        <w:tc>
          <w:tcPr>
            <w:tcW w:w="0" w:type="dxa"/>
            <w:vAlign w:val="bottom"/>
          </w:tcPr>
          <w:p>
            <w:pPr>
              <w:spacing w:after="0"/>
              <w:rPr>
                <w:sz w:val="1"/>
                <w:szCs w:val="1"/>
                <w:color w:val="auto"/>
              </w:rPr>
            </w:pPr>
          </w:p>
        </w:tc>
      </w:tr>
      <w:tr>
        <w:trPr>
          <w:trHeight w:val="310"/>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24"/>
                <w:szCs w:val="24"/>
                <w:color w:val="auto"/>
              </w:rPr>
            </w:pPr>
          </w:p>
        </w:tc>
        <w:tc>
          <w:tcPr>
            <w:tcW w:w="5920" w:type="dxa"/>
            <w:vAlign w:val="bottom"/>
            <w:gridSpan w:val="3"/>
          </w:tcPr>
          <w:p>
            <w:pPr>
              <w:ind w:left="80"/>
              <w:spacing w:after="0"/>
              <w:rPr>
                <w:sz w:val="20"/>
                <w:szCs w:val="20"/>
                <w:color w:val="auto"/>
              </w:rPr>
            </w:pPr>
            <w:r>
              <w:rPr>
                <w:rFonts w:ascii="Arial" w:cs="Arial" w:eastAsia="Arial" w:hAnsi="Arial"/>
                <w:sz w:val="18"/>
                <w:szCs w:val="18"/>
                <w:color w:val="auto"/>
                <w:w w:val="93"/>
              </w:rPr>
              <w:t>First Amendment to Lease Agreement made as of March 5, 2015 between the</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20" w:type="dxa"/>
            <w:vAlign w:val="bottom"/>
            <w:gridSpan w:val="3"/>
          </w:tcPr>
          <w:p>
            <w:pPr>
              <w:ind w:left="80"/>
              <w:spacing w:after="0"/>
              <w:rPr>
                <w:sz w:val="20"/>
                <w:szCs w:val="20"/>
                <w:color w:val="auto"/>
              </w:rPr>
            </w:pPr>
            <w:r>
              <w:rPr>
                <w:rFonts w:ascii="Arial" w:cs="Arial" w:eastAsia="Arial" w:hAnsi="Arial"/>
                <w:sz w:val="18"/>
                <w:szCs w:val="18"/>
                <w:color w:val="auto"/>
              </w:rPr>
              <w:t>Company and ARE-500 Arsenal Street LLC.</w:t>
            </w:r>
          </w:p>
        </w:tc>
        <w:tc>
          <w:tcPr>
            <w:tcW w:w="0" w:type="dxa"/>
            <w:vAlign w:val="bottom"/>
          </w:tcPr>
          <w:p>
            <w:pPr>
              <w:spacing w:after="0"/>
              <w:rPr>
                <w:sz w:val="1"/>
                <w:szCs w:val="1"/>
                <w:color w:val="auto"/>
              </w:rPr>
            </w:pPr>
          </w:p>
        </w:tc>
      </w:tr>
      <w:tr>
        <w:trPr>
          <w:trHeight w:val="310"/>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31.1</w:t>
            </w:r>
          </w:p>
        </w:tc>
        <w:tc>
          <w:tcPr>
            <w:tcW w:w="240" w:type="dxa"/>
            <w:vAlign w:val="bottom"/>
          </w:tcPr>
          <w:p>
            <w:pPr>
              <w:spacing w:after="0"/>
              <w:rPr>
                <w:sz w:val="24"/>
                <w:szCs w:val="24"/>
                <w:color w:val="auto"/>
              </w:rPr>
            </w:pPr>
          </w:p>
        </w:tc>
        <w:tc>
          <w:tcPr>
            <w:tcW w:w="5920" w:type="dxa"/>
            <w:vAlign w:val="bottom"/>
            <w:gridSpan w:val="3"/>
          </w:tcPr>
          <w:p>
            <w:pPr>
              <w:ind w:left="80"/>
              <w:spacing w:after="0"/>
              <w:rPr>
                <w:sz w:val="20"/>
                <w:szCs w:val="20"/>
                <w:color w:val="auto"/>
              </w:rPr>
            </w:pPr>
            <w:r>
              <w:rPr>
                <w:rFonts w:ascii="Arial" w:cs="Arial" w:eastAsia="Arial" w:hAnsi="Arial"/>
                <w:sz w:val="18"/>
                <w:szCs w:val="18"/>
                <w:color w:val="auto"/>
                <w:w w:val="94"/>
              </w:rPr>
              <w:t>Certification of the Chief Executive Officer pursuant to Rule 13a-14(a) or 15d-</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20" w:type="dxa"/>
            <w:vAlign w:val="bottom"/>
            <w:gridSpan w:val="3"/>
          </w:tcPr>
          <w:p>
            <w:pPr>
              <w:ind w:left="80"/>
              <w:spacing w:after="0"/>
              <w:rPr>
                <w:sz w:val="20"/>
                <w:szCs w:val="20"/>
                <w:color w:val="auto"/>
              </w:rPr>
            </w:pPr>
            <w:r>
              <w:rPr>
                <w:rFonts w:ascii="Arial" w:cs="Arial" w:eastAsia="Arial" w:hAnsi="Arial"/>
                <w:sz w:val="18"/>
                <w:szCs w:val="18"/>
                <w:color w:val="auto"/>
              </w:rPr>
              <w:t>14(a) of the Securities Exchange Act of 1934.</w:t>
            </w:r>
          </w:p>
        </w:tc>
        <w:tc>
          <w:tcPr>
            <w:tcW w:w="0" w:type="dxa"/>
            <w:vAlign w:val="bottom"/>
          </w:tcPr>
          <w:p>
            <w:pPr>
              <w:spacing w:after="0"/>
              <w:rPr>
                <w:sz w:val="1"/>
                <w:szCs w:val="1"/>
                <w:color w:val="auto"/>
              </w:rPr>
            </w:pPr>
          </w:p>
        </w:tc>
      </w:tr>
      <w:tr>
        <w:trPr>
          <w:trHeight w:val="310"/>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31.2</w:t>
            </w:r>
          </w:p>
        </w:tc>
        <w:tc>
          <w:tcPr>
            <w:tcW w:w="240" w:type="dxa"/>
            <w:vAlign w:val="bottom"/>
          </w:tcPr>
          <w:p>
            <w:pPr>
              <w:spacing w:after="0"/>
              <w:rPr>
                <w:sz w:val="24"/>
                <w:szCs w:val="24"/>
                <w:color w:val="auto"/>
              </w:rPr>
            </w:pPr>
          </w:p>
        </w:tc>
        <w:tc>
          <w:tcPr>
            <w:tcW w:w="5920" w:type="dxa"/>
            <w:vAlign w:val="bottom"/>
            <w:gridSpan w:val="3"/>
          </w:tcPr>
          <w:p>
            <w:pPr>
              <w:ind w:left="80"/>
              <w:spacing w:after="0"/>
              <w:rPr>
                <w:sz w:val="20"/>
                <w:szCs w:val="20"/>
                <w:color w:val="auto"/>
              </w:rPr>
            </w:pPr>
            <w:r>
              <w:rPr>
                <w:rFonts w:ascii="Arial" w:cs="Arial" w:eastAsia="Arial" w:hAnsi="Arial"/>
                <w:sz w:val="18"/>
                <w:szCs w:val="18"/>
                <w:color w:val="auto"/>
                <w:w w:val="93"/>
              </w:rPr>
              <w:t>Certification of Chief Financial Officer pursuant to Rule 13a-14(a) or 15d-14(a)</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20" w:type="dxa"/>
            <w:vAlign w:val="bottom"/>
            <w:gridSpan w:val="3"/>
          </w:tcPr>
          <w:p>
            <w:pPr>
              <w:ind w:left="80"/>
              <w:spacing w:after="0"/>
              <w:rPr>
                <w:sz w:val="20"/>
                <w:szCs w:val="20"/>
                <w:color w:val="auto"/>
              </w:rPr>
            </w:pPr>
            <w:r>
              <w:rPr>
                <w:rFonts w:ascii="Arial" w:cs="Arial" w:eastAsia="Arial" w:hAnsi="Arial"/>
                <w:sz w:val="18"/>
                <w:szCs w:val="18"/>
                <w:color w:val="auto"/>
              </w:rPr>
              <w:t>of the Securities Exchange Act of 1934.</w:t>
            </w:r>
          </w:p>
        </w:tc>
        <w:tc>
          <w:tcPr>
            <w:tcW w:w="0" w:type="dxa"/>
            <w:vAlign w:val="bottom"/>
          </w:tcPr>
          <w:p>
            <w:pPr>
              <w:spacing w:after="0"/>
              <w:rPr>
                <w:sz w:val="1"/>
                <w:szCs w:val="1"/>
                <w:color w:val="auto"/>
              </w:rPr>
            </w:pPr>
          </w:p>
        </w:tc>
      </w:tr>
      <w:tr>
        <w:trPr>
          <w:trHeight w:val="310"/>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32.1</w:t>
            </w:r>
          </w:p>
        </w:tc>
        <w:tc>
          <w:tcPr>
            <w:tcW w:w="240" w:type="dxa"/>
            <w:vAlign w:val="bottom"/>
          </w:tcPr>
          <w:p>
            <w:pPr>
              <w:spacing w:after="0"/>
              <w:rPr>
                <w:sz w:val="24"/>
                <w:szCs w:val="24"/>
                <w:color w:val="auto"/>
              </w:rPr>
            </w:pPr>
          </w:p>
        </w:tc>
        <w:tc>
          <w:tcPr>
            <w:tcW w:w="5920" w:type="dxa"/>
            <w:vAlign w:val="bottom"/>
            <w:gridSpan w:val="3"/>
          </w:tcPr>
          <w:p>
            <w:pPr>
              <w:ind w:left="80"/>
              <w:spacing w:after="0"/>
              <w:rPr>
                <w:sz w:val="20"/>
                <w:szCs w:val="20"/>
                <w:color w:val="auto"/>
              </w:rPr>
            </w:pPr>
            <w:r>
              <w:rPr>
                <w:rFonts w:ascii="Arial" w:cs="Arial" w:eastAsia="Arial" w:hAnsi="Arial"/>
                <w:sz w:val="18"/>
                <w:szCs w:val="18"/>
                <w:color w:val="auto"/>
                <w:w w:val="93"/>
              </w:rPr>
              <w:t>Certification of the Chief Executive Officer and Chief Financial Officer pursuant</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920" w:type="dxa"/>
            <w:vAlign w:val="bottom"/>
            <w:gridSpan w:val="3"/>
          </w:tcPr>
          <w:p>
            <w:pPr>
              <w:ind w:left="80"/>
              <w:spacing w:after="0"/>
              <w:rPr>
                <w:sz w:val="20"/>
                <w:szCs w:val="20"/>
                <w:color w:val="auto"/>
              </w:rPr>
            </w:pPr>
            <w:r>
              <w:rPr>
                <w:rFonts w:ascii="Arial" w:cs="Arial" w:eastAsia="Arial" w:hAnsi="Arial"/>
                <w:sz w:val="18"/>
                <w:szCs w:val="18"/>
                <w:color w:val="auto"/>
                <w:w w:val="90"/>
              </w:rPr>
              <w:t>to 18 U.S.C. Section 1350, as adopted pursuant to Section 906 of the Sarbanes-</w:t>
            </w: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920" w:type="dxa"/>
            <w:vAlign w:val="bottom"/>
            <w:gridSpan w:val="3"/>
          </w:tcPr>
          <w:p>
            <w:pPr>
              <w:ind w:left="80"/>
              <w:spacing w:after="0"/>
              <w:rPr>
                <w:sz w:val="20"/>
                <w:szCs w:val="20"/>
                <w:color w:val="auto"/>
              </w:rPr>
            </w:pPr>
            <w:r>
              <w:rPr>
                <w:rFonts w:ascii="Arial" w:cs="Arial" w:eastAsia="Arial" w:hAnsi="Arial"/>
                <w:sz w:val="18"/>
                <w:szCs w:val="18"/>
                <w:color w:val="auto"/>
              </w:rPr>
              <w:t>Oxley Act of 2002.</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840" w:hanging="832"/>
        <w:spacing w:after="0" w:line="290" w:lineRule="auto"/>
        <w:tabs>
          <w:tab w:leader="none" w:pos="8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following materials from the Quarterly Report of Enanta Pharmaceuticals, Inc. on Form 10-Q for the quarter ended March 31, 2015, formatted in XBRL (eXtensible Business Reporting Language): (i) Consolidated Balance Sheets as of March 31, 2015 and September 30, 2014 of Enanta Pharmaceuticals, Inc., (ii) Statements of Operations for the three and six months ended March 31, 2015 and 2014 of Enanta Pharmaceuticals, Inc., (iii) Statements of Cash Flows for the six months ended March 31, 2015 and 2014 of Enanta Pharmaceuticals, Inc., and (iv) Notes to Consolidated Financial Statements of Enanta Pharmaceuticals, Inc.</w:t>
      </w:r>
    </w:p>
    <w:p>
      <w:pPr>
        <w:spacing w:after="0" w:line="9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5"/>
        </w:trPr>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7"/>
          </w:tcPr>
          <w:p>
            <w:pPr>
              <w:ind w:left="360"/>
              <w:spacing w:after="0"/>
              <w:rPr>
                <w:sz w:val="20"/>
                <w:szCs w:val="20"/>
                <w:color w:val="auto"/>
              </w:rPr>
            </w:pPr>
            <w:r>
              <w:rPr>
                <w:rFonts w:ascii="Arial" w:cs="Arial" w:eastAsia="Arial" w:hAnsi="Arial"/>
                <w:sz w:val="14"/>
                <w:szCs w:val="14"/>
                <w:b w:val="1"/>
                <w:bCs w:val="1"/>
                <w:color w:val="auto"/>
                <w:w w:val="92"/>
              </w:rPr>
              <w:t>Incorporated by Reference</w:t>
            </w: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vMerge w:val="restart"/>
          </w:tcPr>
          <w:p>
            <w:pPr>
              <w:jc w:val="right"/>
              <w:ind w:right="55"/>
              <w:spacing w:after="0"/>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06"/>
        </w:trPr>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gridSpan w:val="2"/>
          </w:tcPr>
          <w:p>
            <w:pPr>
              <w:ind w:left="40"/>
              <w:spacing w:after="0" w:line="106" w:lineRule="exact"/>
              <w:rPr>
                <w:sz w:val="20"/>
                <w:szCs w:val="20"/>
                <w:color w:val="auto"/>
              </w:rPr>
            </w:pPr>
            <w:r>
              <w:rPr>
                <w:rFonts w:ascii="Arial" w:cs="Arial" w:eastAsia="Arial" w:hAnsi="Arial"/>
                <w:sz w:val="12"/>
                <w:szCs w:val="12"/>
                <w:b w:val="1"/>
                <w:bCs w:val="1"/>
                <w:color w:val="auto"/>
              </w:rPr>
              <w:t>Exhibit</w:t>
            </w:r>
          </w:p>
        </w:tc>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4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Form</w:t>
            </w:r>
          </w:p>
        </w:tc>
        <w:tc>
          <w:tcPr>
            <w:tcW w:w="360" w:type="dxa"/>
            <w:vAlign w:val="bottom"/>
          </w:tcPr>
          <w:p>
            <w:pPr>
              <w:spacing w:after="0"/>
              <w:rPr>
                <w:sz w:val="16"/>
                <w:szCs w:val="16"/>
                <w:color w:val="auto"/>
              </w:rPr>
            </w:pPr>
          </w:p>
        </w:tc>
        <w:tc>
          <w:tcPr>
            <w:tcW w:w="800" w:type="dxa"/>
            <w:vAlign w:val="bottom"/>
            <w:gridSpan w:val="3"/>
          </w:tcPr>
          <w:p>
            <w:pPr>
              <w:jc w:val="center"/>
              <w:ind w:right="410"/>
              <w:spacing w:after="0"/>
              <w:rPr>
                <w:sz w:val="20"/>
                <w:szCs w:val="20"/>
                <w:color w:val="auto"/>
              </w:rPr>
            </w:pPr>
            <w:r>
              <w:rPr>
                <w:rFonts w:ascii="Arial" w:cs="Arial" w:eastAsia="Arial" w:hAnsi="Arial"/>
                <w:sz w:val="14"/>
                <w:szCs w:val="14"/>
                <w:b w:val="1"/>
                <w:bCs w:val="1"/>
                <w:color w:val="auto"/>
                <w:w w:val="98"/>
              </w:rPr>
              <w:t>Date</w:t>
            </w:r>
          </w:p>
        </w:tc>
        <w:tc>
          <w:tcPr>
            <w:tcW w:w="8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4"/>
              </w:rPr>
              <w:t>Number</w:t>
            </w: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File Number</w:t>
            </w: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4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160" w:type="dxa"/>
            <w:vAlign w:val="bottom"/>
            <w:gridSpan w:val="4"/>
          </w:tcPr>
          <w:p>
            <w:pPr>
              <w:jc w:val="center"/>
              <w:ind w:right="10"/>
              <w:spacing w:after="0"/>
              <w:rPr>
                <w:sz w:val="20"/>
                <w:szCs w:val="20"/>
                <w:color w:val="auto"/>
              </w:rPr>
            </w:pPr>
            <w:r>
              <w:rPr>
                <w:rFonts w:ascii="Arial" w:cs="Arial" w:eastAsia="Arial" w:hAnsi="Arial"/>
                <w:sz w:val="18"/>
                <w:szCs w:val="18"/>
                <w:color w:val="auto"/>
                <w:w w:val="90"/>
              </w:rPr>
              <w:t>03/28/2013</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001-35839</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4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8-K</w:t>
            </w:r>
          </w:p>
        </w:tc>
        <w:tc>
          <w:tcPr>
            <w:tcW w:w="1160" w:type="dxa"/>
            <w:vAlign w:val="bottom"/>
            <w:gridSpan w:val="4"/>
          </w:tcPr>
          <w:p>
            <w:pPr>
              <w:jc w:val="center"/>
              <w:ind w:right="10"/>
              <w:spacing w:after="0"/>
              <w:rPr>
                <w:sz w:val="20"/>
                <w:szCs w:val="20"/>
                <w:color w:val="auto"/>
              </w:rPr>
            </w:pPr>
            <w:r>
              <w:rPr>
                <w:rFonts w:ascii="Arial" w:cs="Arial" w:eastAsia="Arial" w:hAnsi="Arial"/>
                <w:sz w:val="18"/>
                <w:szCs w:val="18"/>
                <w:color w:val="auto"/>
                <w:w w:val="90"/>
              </w:rPr>
              <w:t>03/28/2013</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001-35839</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40"/>
        </w:trPr>
        <w:tc>
          <w:tcPr>
            <w:tcW w:w="4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40"/>
        </w:trPr>
        <w:tc>
          <w:tcPr>
            <w:tcW w:w="4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540"/>
        </w:trPr>
        <w:tc>
          <w:tcPr>
            <w:tcW w:w="4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756"/>
        </w:trPr>
        <w:tc>
          <w:tcPr>
            <w:tcW w:w="48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00"/>
        <w:spacing w:after="0"/>
        <w:rPr>
          <w:sz w:val="20"/>
          <w:szCs w:val="20"/>
          <w:color w:val="auto"/>
        </w:rPr>
      </w:pPr>
      <w:r>
        <w:rPr>
          <w:rFonts w:ascii="Arial" w:cs="Arial" w:eastAsia="Arial" w:hAnsi="Arial"/>
          <w:sz w:val="17"/>
          <w:szCs w:val="17"/>
          <w:color w:val="auto"/>
        </w:rPr>
        <w:t>X</w:t>
      </w:r>
    </w:p>
    <w:p>
      <w:pPr>
        <w:sectPr>
          <w:pgSz w:w="11900" w:h="16838" w:orient="portrait"/>
          <w:cols w:equalWidth="0" w:num="2">
            <w:col w:w="6740" w:space="240"/>
            <w:col w:w="4220"/>
          </w:cols>
          <w:pgMar w:left="24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ENANTA PHARMACEUTICALS,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May 8, 2015</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Paul J. Mellett</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(Principal Financial and Accounting Officer)</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20"/>
          </w:cols>
          <w:pgMar w:left="24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Exhibit</w:t>
            </w:r>
          </w:p>
        </w:tc>
        <w:tc>
          <w:tcPr>
            <w:tcW w:w="26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gridSpan w:val="7"/>
          </w:tcPr>
          <w:p>
            <w:pPr>
              <w:ind w:left="360"/>
              <w:spacing w:after="0"/>
              <w:rPr>
                <w:sz w:val="20"/>
                <w:szCs w:val="20"/>
                <w:color w:val="auto"/>
              </w:rPr>
            </w:pPr>
            <w:r>
              <w:rPr>
                <w:rFonts w:ascii="Arial" w:cs="Arial" w:eastAsia="Arial" w:hAnsi="Arial"/>
                <w:sz w:val="14"/>
                <w:szCs w:val="14"/>
                <w:b w:val="1"/>
                <w:bCs w:val="1"/>
                <w:color w:val="auto"/>
                <w:w w:val="92"/>
              </w:rPr>
              <w:t>Incorporated by Reference</w:t>
            </w: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520" w:type="dxa"/>
            <w:vAlign w:val="bottom"/>
            <w:vMerge w:val="continue"/>
          </w:tcPr>
          <w:p>
            <w:pPr>
              <w:spacing w:after="0"/>
              <w:rPr>
                <w:sz w:val="11"/>
                <w:szCs w:val="11"/>
                <w:color w:val="auto"/>
              </w:rPr>
            </w:pPr>
          </w:p>
        </w:tc>
        <w:tc>
          <w:tcPr>
            <w:tcW w:w="2680" w:type="dxa"/>
            <w:vAlign w:val="bottom"/>
          </w:tcPr>
          <w:p>
            <w:pPr>
              <w:spacing w:after="0"/>
              <w:rPr>
                <w:sz w:val="11"/>
                <w:szCs w:val="11"/>
                <w:color w:val="auto"/>
              </w:rPr>
            </w:pPr>
          </w:p>
        </w:tc>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Exhibit Description</w:t>
            </w:r>
          </w:p>
        </w:tc>
        <w:tc>
          <w:tcPr>
            <w:tcW w:w="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Form</w:t>
            </w:r>
          </w:p>
        </w:tc>
        <w:tc>
          <w:tcPr>
            <w:tcW w:w="360" w:type="dxa"/>
            <w:vAlign w:val="bottom"/>
          </w:tcPr>
          <w:p>
            <w:pPr>
              <w:spacing w:after="0"/>
              <w:rPr>
                <w:sz w:val="11"/>
                <w:szCs w:val="11"/>
                <w:color w:val="auto"/>
              </w:rPr>
            </w:pPr>
          </w:p>
        </w:tc>
        <w:tc>
          <w:tcPr>
            <w:tcW w:w="800" w:type="dxa"/>
            <w:vAlign w:val="bottom"/>
            <w:tcBorders>
              <w:top w:val="single" w:sz="8" w:color="auto"/>
            </w:tcBorders>
            <w:gridSpan w:val="3"/>
            <w:vMerge w:val="restart"/>
          </w:tcPr>
          <w:p>
            <w:pPr>
              <w:jc w:val="right"/>
              <w:ind w:right="410"/>
              <w:spacing w:after="0"/>
              <w:rPr>
                <w:sz w:val="20"/>
                <w:szCs w:val="20"/>
                <w:color w:val="auto"/>
              </w:rPr>
            </w:pPr>
            <w:r>
              <w:rPr>
                <w:rFonts w:ascii="Arial" w:cs="Arial" w:eastAsia="Arial" w:hAnsi="Arial"/>
                <w:sz w:val="14"/>
                <w:szCs w:val="14"/>
                <w:b w:val="1"/>
                <w:bCs w:val="1"/>
                <w:color w:val="auto"/>
                <w:w w:val="92"/>
              </w:rPr>
              <w:t>Date</w:t>
            </w:r>
          </w:p>
        </w:tc>
        <w:tc>
          <w:tcPr>
            <w:tcW w:w="840" w:type="dxa"/>
            <w:vAlign w:val="bottom"/>
            <w:tcBorders>
              <w:top w:val="single" w:sz="8" w:color="auto"/>
            </w:tcBorders>
            <w:gridSpan w:val="2"/>
          </w:tcPr>
          <w:p>
            <w:pPr>
              <w:ind w:left="40"/>
              <w:spacing w:after="0" w:line="129" w:lineRule="exact"/>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File Number</w:t>
            </w:r>
          </w:p>
        </w:tc>
        <w:tc>
          <w:tcPr>
            <w:tcW w:w="580" w:type="dxa"/>
            <w:vAlign w:val="bottom"/>
          </w:tcPr>
          <w:p>
            <w:pPr>
              <w:jc w:val="right"/>
              <w:ind w:right="54"/>
              <w:spacing w:after="0" w:line="129" w:lineRule="exact"/>
              <w:rPr>
                <w:sz w:val="20"/>
                <w:szCs w:val="20"/>
                <w:color w:val="auto"/>
              </w:rPr>
            </w:pPr>
            <w:r>
              <w:rPr>
                <w:rFonts w:ascii="Arial" w:cs="Arial" w:eastAsia="Arial" w:hAnsi="Arial"/>
                <w:sz w:val="14"/>
                <w:szCs w:val="14"/>
                <w:b w:val="1"/>
                <w:bCs w:val="1"/>
                <w:color w:val="auto"/>
              </w:rPr>
              <w:t>Filed</w:t>
            </w:r>
          </w:p>
        </w:tc>
        <w:tc>
          <w:tcPr>
            <w:tcW w:w="0" w:type="dxa"/>
            <w:vAlign w:val="bottom"/>
          </w:tcPr>
          <w:p>
            <w:pPr>
              <w:spacing w:after="0"/>
              <w:rPr>
                <w:sz w:val="1"/>
                <w:szCs w:val="1"/>
                <w:color w:val="auto"/>
              </w:rPr>
            </w:pPr>
          </w:p>
        </w:tc>
      </w:tr>
      <w:tr>
        <w:trPr>
          <w:trHeight w:val="162"/>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2680" w:type="dxa"/>
            <w:vAlign w:val="bottom"/>
          </w:tcPr>
          <w:p>
            <w:pPr>
              <w:spacing w:after="0"/>
              <w:rPr>
                <w:sz w:val="14"/>
                <w:szCs w:val="14"/>
                <w:color w:val="auto"/>
              </w:rPr>
            </w:pPr>
          </w:p>
        </w:tc>
        <w:tc>
          <w:tcPr>
            <w:tcW w:w="3780" w:type="dxa"/>
            <w:vAlign w:val="bottom"/>
            <w:gridSpan w:val="2"/>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4"/>
              </w:rPr>
              <w:t>Number</w:t>
            </w:r>
          </w:p>
        </w:tc>
        <w:tc>
          <w:tcPr>
            <w:tcW w:w="1140" w:type="dxa"/>
            <w:vAlign w:val="bottom"/>
            <w:gridSpan w:val="2"/>
            <w:vMerge w:val="continue"/>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3.1</w:t>
            </w:r>
          </w:p>
        </w:tc>
        <w:tc>
          <w:tcPr>
            <w:tcW w:w="6460" w:type="dxa"/>
            <w:vAlign w:val="bottom"/>
            <w:gridSpan w:val="3"/>
          </w:tcPr>
          <w:p>
            <w:pPr>
              <w:ind w:left="320"/>
              <w:spacing w:after="0"/>
              <w:rPr>
                <w:sz w:val="20"/>
                <w:szCs w:val="20"/>
                <w:color w:val="auto"/>
              </w:rPr>
            </w:pPr>
            <w:r>
              <w:rPr>
                <w:rFonts w:ascii="Arial" w:cs="Arial" w:eastAsia="Arial" w:hAnsi="Arial"/>
                <w:sz w:val="18"/>
                <w:szCs w:val="18"/>
                <w:color w:val="auto"/>
              </w:rPr>
              <w:t>Restated Certificate of Incorporation of Enanta Pharmaceuticals, Inc.</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8-K</w:t>
            </w:r>
          </w:p>
        </w:tc>
        <w:tc>
          <w:tcPr>
            <w:tcW w:w="1160" w:type="dxa"/>
            <w:vAlign w:val="bottom"/>
            <w:gridSpan w:val="4"/>
          </w:tcPr>
          <w:p>
            <w:pPr>
              <w:jc w:val="right"/>
              <w:ind w:right="130"/>
              <w:spacing w:after="0"/>
              <w:rPr>
                <w:sz w:val="20"/>
                <w:szCs w:val="20"/>
                <w:color w:val="auto"/>
              </w:rPr>
            </w:pPr>
            <w:r>
              <w:rPr>
                <w:rFonts w:ascii="Arial" w:cs="Arial" w:eastAsia="Arial" w:hAnsi="Arial"/>
                <w:sz w:val="18"/>
                <w:szCs w:val="18"/>
                <w:color w:val="auto"/>
              </w:rPr>
              <w:t>03/28/2013</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001-35839</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3.2</w:t>
            </w:r>
          </w:p>
        </w:tc>
        <w:tc>
          <w:tcPr>
            <w:tcW w:w="6460" w:type="dxa"/>
            <w:vAlign w:val="bottom"/>
            <w:gridSpan w:val="3"/>
          </w:tcPr>
          <w:p>
            <w:pPr>
              <w:ind w:left="320"/>
              <w:spacing w:after="0"/>
              <w:rPr>
                <w:sz w:val="20"/>
                <w:szCs w:val="20"/>
                <w:color w:val="auto"/>
              </w:rPr>
            </w:pPr>
            <w:r>
              <w:rPr>
                <w:rFonts w:ascii="Arial" w:cs="Arial" w:eastAsia="Arial" w:hAnsi="Arial"/>
                <w:sz w:val="18"/>
                <w:szCs w:val="18"/>
                <w:color w:val="auto"/>
              </w:rPr>
              <w:t>Amended and Restated Bylaws of Enanta Pharmaceuticals, Inc.</w:t>
            </w:r>
          </w:p>
        </w:tc>
        <w:tc>
          <w:tcPr>
            <w:tcW w:w="480" w:type="dxa"/>
            <w:vAlign w:val="bottom"/>
            <w:gridSpan w:val="2"/>
          </w:tcPr>
          <w:p>
            <w:pPr>
              <w:ind w:left="60"/>
              <w:spacing w:after="0"/>
              <w:rPr>
                <w:sz w:val="20"/>
                <w:szCs w:val="20"/>
                <w:color w:val="auto"/>
              </w:rPr>
            </w:pPr>
            <w:r>
              <w:rPr>
                <w:rFonts w:ascii="Arial" w:cs="Arial" w:eastAsia="Arial" w:hAnsi="Arial"/>
                <w:sz w:val="18"/>
                <w:szCs w:val="18"/>
                <w:color w:val="auto"/>
              </w:rPr>
              <w:t>8-K</w:t>
            </w:r>
          </w:p>
        </w:tc>
        <w:tc>
          <w:tcPr>
            <w:tcW w:w="1160" w:type="dxa"/>
            <w:vAlign w:val="bottom"/>
            <w:gridSpan w:val="4"/>
          </w:tcPr>
          <w:p>
            <w:pPr>
              <w:jc w:val="right"/>
              <w:ind w:right="130"/>
              <w:spacing w:after="0"/>
              <w:rPr>
                <w:sz w:val="20"/>
                <w:szCs w:val="20"/>
                <w:color w:val="auto"/>
              </w:rPr>
            </w:pPr>
            <w:r>
              <w:rPr>
                <w:rFonts w:ascii="Arial" w:cs="Arial" w:eastAsia="Arial" w:hAnsi="Arial"/>
                <w:sz w:val="18"/>
                <w:szCs w:val="18"/>
                <w:color w:val="auto"/>
              </w:rPr>
              <w:t>03/28/2013</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001-35839</w:t>
            </w: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10.1</w:t>
            </w:r>
          </w:p>
        </w:tc>
        <w:tc>
          <w:tcPr>
            <w:tcW w:w="6460" w:type="dxa"/>
            <w:vAlign w:val="bottom"/>
            <w:gridSpan w:val="3"/>
          </w:tcPr>
          <w:p>
            <w:pPr>
              <w:ind w:left="320"/>
              <w:spacing w:after="0"/>
              <w:rPr>
                <w:sz w:val="20"/>
                <w:szCs w:val="20"/>
                <w:color w:val="auto"/>
              </w:rPr>
            </w:pPr>
            <w:r>
              <w:rPr>
                <w:rFonts w:ascii="Arial" w:cs="Arial" w:eastAsia="Arial" w:hAnsi="Arial"/>
                <w:sz w:val="18"/>
                <w:szCs w:val="18"/>
                <w:color w:val="auto"/>
              </w:rPr>
              <w:t>Fourth Amendment to Collaborative Development and License Agreement</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460" w:type="dxa"/>
            <w:vAlign w:val="bottom"/>
            <w:gridSpan w:val="3"/>
          </w:tcPr>
          <w:p>
            <w:pPr>
              <w:ind w:left="320"/>
              <w:spacing w:after="0"/>
              <w:rPr>
                <w:sz w:val="20"/>
                <w:szCs w:val="20"/>
                <w:color w:val="auto"/>
              </w:rPr>
            </w:pPr>
            <w:r>
              <w:rPr>
                <w:rFonts w:ascii="Arial" w:cs="Arial" w:eastAsia="Arial" w:hAnsi="Arial"/>
                <w:sz w:val="18"/>
                <w:szCs w:val="18"/>
                <w:color w:val="auto"/>
              </w:rPr>
              <w:t>between the Company and AbbVie dated as of March 3, 2015.</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10"/>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10.2</w:t>
            </w:r>
          </w:p>
        </w:tc>
        <w:tc>
          <w:tcPr>
            <w:tcW w:w="6460" w:type="dxa"/>
            <w:vAlign w:val="bottom"/>
            <w:gridSpan w:val="3"/>
          </w:tcPr>
          <w:p>
            <w:pPr>
              <w:ind w:left="320"/>
              <w:spacing w:after="0"/>
              <w:rPr>
                <w:sz w:val="20"/>
                <w:szCs w:val="20"/>
                <w:color w:val="auto"/>
              </w:rPr>
            </w:pPr>
            <w:r>
              <w:rPr>
                <w:rFonts w:ascii="Arial" w:cs="Arial" w:eastAsia="Arial" w:hAnsi="Arial"/>
                <w:sz w:val="18"/>
                <w:szCs w:val="18"/>
                <w:color w:val="auto"/>
                <w:w w:val="98"/>
              </w:rPr>
              <w:t>First Amendment to Lease Agreement made as of March 5, 2015 between the</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460" w:type="dxa"/>
            <w:vAlign w:val="bottom"/>
            <w:gridSpan w:val="3"/>
          </w:tcPr>
          <w:p>
            <w:pPr>
              <w:ind w:left="320"/>
              <w:spacing w:after="0"/>
              <w:rPr>
                <w:sz w:val="20"/>
                <w:szCs w:val="20"/>
                <w:color w:val="auto"/>
              </w:rPr>
            </w:pPr>
            <w:r>
              <w:rPr>
                <w:rFonts w:ascii="Arial" w:cs="Arial" w:eastAsia="Arial" w:hAnsi="Arial"/>
                <w:sz w:val="18"/>
                <w:szCs w:val="18"/>
                <w:color w:val="auto"/>
              </w:rPr>
              <w:t>Company and ARE-500 Arsenal Street LLC.</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10"/>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31.1</w:t>
            </w:r>
          </w:p>
        </w:tc>
        <w:tc>
          <w:tcPr>
            <w:tcW w:w="6460" w:type="dxa"/>
            <w:vAlign w:val="bottom"/>
            <w:gridSpan w:val="3"/>
          </w:tcPr>
          <w:p>
            <w:pPr>
              <w:ind w:left="320"/>
              <w:spacing w:after="0"/>
              <w:rPr>
                <w:sz w:val="20"/>
                <w:szCs w:val="20"/>
                <w:color w:val="auto"/>
              </w:rPr>
            </w:pPr>
            <w:r>
              <w:rPr>
                <w:rFonts w:ascii="Arial" w:cs="Arial" w:eastAsia="Arial" w:hAnsi="Arial"/>
                <w:sz w:val="18"/>
                <w:szCs w:val="18"/>
                <w:color w:val="auto"/>
                <w:w w:val="99"/>
              </w:rPr>
              <w:t>Certification of the Chief Executive Officer pursuant to Rule 13a-14(a) or 15d-</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460" w:type="dxa"/>
            <w:vAlign w:val="bottom"/>
            <w:gridSpan w:val="3"/>
          </w:tcPr>
          <w:p>
            <w:pPr>
              <w:ind w:left="320"/>
              <w:spacing w:after="0"/>
              <w:rPr>
                <w:sz w:val="20"/>
                <w:szCs w:val="20"/>
                <w:color w:val="auto"/>
              </w:rPr>
            </w:pPr>
            <w:r>
              <w:rPr>
                <w:rFonts w:ascii="Arial" w:cs="Arial" w:eastAsia="Arial" w:hAnsi="Arial"/>
                <w:sz w:val="18"/>
                <w:szCs w:val="18"/>
                <w:color w:val="auto"/>
              </w:rPr>
              <w:t>14(a) of the Securities Exchange Act of 1934.</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10"/>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31.2</w:t>
            </w:r>
          </w:p>
        </w:tc>
        <w:tc>
          <w:tcPr>
            <w:tcW w:w="6460" w:type="dxa"/>
            <w:vAlign w:val="bottom"/>
            <w:gridSpan w:val="3"/>
          </w:tcPr>
          <w:p>
            <w:pPr>
              <w:ind w:left="320"/>
              <w:spacing w:after="0"/>
              <w:rPr>
                <w:sz w:val="20"/>
                <w:szCs w:val="20"/>
                <w:color w:val="auto"/>
              </w:rPr>
            </w:pPr>
            <w:r>
              <w:rPr>
                <w:rFonts w:ascii="Arial" w:cs="Arial" w:eastAsia="Arial" w:hAnsi="Arial"/>
                <w:sz w:val="18"/>
                <w:szCs w:val="18"/>
                <w:color w:val="auto"/>
                <w:w w:val="98"/>
              </w:rPr>
              <w:t>Certification of Chief Financial Officer pursuant to Rule 13a-14(a) or 15d-14(a)</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460" w:type="dxa"/>
            <w:vAlign w:val="bottom"/>
            <w:gridSpan w:val="3"/>
          </w:tcPr>
          <w:p>
            <w:pPr>
              <w:ind w:left="320"/>
              <w:spacing w:after="0"/>
              <w:rPr>
                <w:sz w:val="20"/>
                <w:szCs w:val="20"/>
                <w:color w:val="auto"/>
              </w:rPr>
            </w:pPr>
            <w:r>
              <w:rPr>
                <w:rFonts w:ascii="Arial" w:cs="Arial" w:eastAsia="Arial" w:hAnsi="Arial"/>
                <w:sz w:val="18"/>
                <w:szCs w:val="18"/>
                <w:color w:val="auto"/>
              </w:rPr>
              <w:t>of the Securities Exchange Act of 1934.</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10"/>
        </w:trPr>
        <w:tc>
          <w:tcPr>
            <w:tcW w:w="520" w:type="dxa"/>
            <w:vAlign w:val="bottom"/>
          </w:tcPr>
          <w:p>
            <w:pPr>
              <w:jc w:val="right"/>
              <w:ind w:right="14"/>
              <w:spacing w:after="0"/>
              <w:rPr>
                <w:sz w:val="20"/>
                <w:szCs w:val="20"/>
                <w:color w:val="auto"/>
              </w:rPr>
            </w:pPr>
            <w:r>
              <w:rPr>
                <w:rFonts w:ascii="Arial" w:cs="Arial" w:eastAsia="Arial" w:hAnsi="Arial"/>
                <w:sz w:val="18"/>
                <w:szCs w:val="18"/>
                <w:color w:val="auto"/>
              </w:rPr>
              <w:t>32.1</w:t>
            </w:r>
          </w:p>
        </w:tc>
        <w:tc>
          <w:tcPr>
            <w:tcW w:w="6460" w:type="dxa"/>
            <w:vAlign w:val="bottom"/>
            <w:gridSpan w:val="3"/>
          </w:tcPr>
          <w:p>
            <w:pPr>
              <w:ind w:left="320"/>
              <w:spacing w:after="0"/>
              <w:rPr>
                <w:sz w:val="20"/>
                <w:szCs w:val="20"/>
                <w:color w:val="auto"/>
              </w:rPr>
            </w:pPr>
            <w:r>
              <w:rPr>
                <w:rFonts w:ascii="Arial" w:cs="Arial" w:eastAsia="Arial" w:hAnsi="Arial"/>
                <w:sz w:val="18"/>
                <w:szCs w:val="18"/>
                <w:color w:val="auto"/>
                <w:w w:val="97"/>
              </w:rPr>
              <w:t>Certification of the Chief Executive Officer and Chief Financial Officer pursuant</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460" w:type="dxa"/>
            <w:vAlign w:val="bottom"/>
            <w:gridSpan w:val="3"/>
          </w:tcPr>
          <w:p>
            <w:pPr>
              <w:ind w:left="320"/>
              <w:spacing w:after="0"/>
              <w:rPr>
                <w:sz w:val="20"/>
                <w:szCs w:val="20"/>
                <w:color w:val="auto"/>
              </w:rPr>
            </w:pPr>
            <w:r>
              <w:rPr>
                <w:rFonts w:ascii="Arial" w:cs="Arial" w:eastAsia="Arial" w:hAnsi="Arial"/>
                <w:sz w:val="18"/>
                <w:szCs w:val="18"/>
                <w:color w:val="auto"/>
                <w:w w:val="95"/>
              </w:rPr>
              <w:t>to 18 U.S.C. Section 1350, as adopted pursuant to Section 906 of the Sarbanes-</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460" w:type="dxa"/>
            <w:vAlign w:val="bottom"/>
            <w:gridSpan w:val="3"/>
          </w:tcPr>
          <w:p>
            <w:pPr>
              <w:ind w:left="320"/>
              <w:spacing w:after="0"/>
              <w:rPr>
                <w:sz w:val="20"/>
                <w:szCs w:val="20"/>
                <w:color w:val="auto"/>
              </w:rPr>
            </w:pPr>
            <w:r>
              <w:rPr>
                <w:rFonts w:ascii="Arial" w:cs="Arial" w:eastAsia="Arial" w:hAnsi="Arial"/>
                <w:sz w:val="18"/>
                <w:szCs w:val="18"/>
                <w:color w:val="auto"/>
              </w:rPr>
              <w:t>Oxley Act of 2002.</w:t>
            </w:r>
          </w:p>
        </w:tc>
        <w:tc>
          <w:tcPr>
            <w:tcW w:w="4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10"/>
        </w:trPr>
        <w:tc>
          <w:tcPr>
            <w:tcW w:w="520" w:type="dxa"/>
            <w:vAlign w:val="bottom"/>
          </w:tcPr>
          <w:p>
            <w:pPr>
              <w:spacing w:after="0"/>
              <w:rPr>
                <w:sz w:val="20"/>
                <w:szCs w:val="20"/>
                <w:color w:val="auto"/>
              </w:rPr>
            </w:pPr>
            <w:r>
              <w:rPr>
                <w:rFonts w:ascii="Arial" w:cs="Arial" w:eastAsia="Arial" w:hAnsi="Arial"/>
                <w:sz w:val="18"/>
                <w:szCs w:val="18"/>
                <w:color w:val="auto"/>
              </w:rPr>
              <w:t>101</w:t>
            </w:r>
          </w:p>
        </w:tc>
        <w:tc>
          <w:tcPr>
            <w:tcW w:w="6460" w:type="dxa"/>
            <w:vAlign w:val="bottom"/>
            <w:gridSpan w:val="3"/>
          </w:tcPr>
          <w:p>
            <w:pPr>
              <w:ind w:left="320"/>
              <w:spacing w:after="0"/>
              <w:rPr>
                <w:sz w:val="20"/>
                <w:szCs w:val="20"/>
                <w:color w:val="auto"/>
              </w:rPr>
            </w:pPr>
            <w:r>
              <w:rPr>
                <w:rFonts w:ascii="Arial" w:cs="Arial" w:eastAsia="Arial" w:hAnsi="Arial"/>
                <w:sz w:val="18"/>
                <w:szCs w:val="18"/>
                <w:color w:val="auto"/>
                <w:w w:val="98"/>
              </w:rPr>
              <w:t>The following materials from the Quarterly Report of Enanta Pharmaceuticals,</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460" w:type="dxa"/>
            <w:vAlign w:val="bottom"/>
            <w:gridSpan w:val="3"/>
          </w:tcPr>
          <w:p>
            <w:pPr>
              <w:ind w:left="320"/>
              <w:spacing w:after="0"/>
              <w:rPr>
                <w:sz w:val="20"/>
                <w:szCs w:val="20"/>
                <w:color w:val="auto"/>
              </w:rPr>
            </w:pPr>
            <w:r>
              <w:rPr>
                <w:rFonts w:ascii="Arial" w:cs="Arial" w:eastAsia="Arial" w:hAnsi="Arial"/>
                <w:sz w:val="18"/>
                <w:szCs w:val="18"/>
                <w:color w:val="auto"/>
              </w:rPr>
              <w:t>Inc. on Form 10-Q for the quarter ended March 31, 2015, formatted in XBRL</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460" w:type="dxa"/>
            <w:vAlign w:val="bottom"/>
            <w:gridSpan w:val="3"/>
          </w:tcPr>
          <w:p>
            <w:pPr>
              <w:ind w:left="320"/>
              <w:spacing w:after="0"/>
              <w:rPr>
                <w:sz w:val="20"/>
                <w:szCs w:val="20"/>
                <w:color w:val="auto"/>
              </w:rPr>
            </w:pPr>
            <w:r>
              <w:rPr>
                <w:rFonts w:ascii="Arial" w:cs="Arial" w:eastAsia="Arial" w:hAnsi="Arial"/>
                <w:sz w:val="18"/>
                <w:szCs w:val="18"/>
                <w:color w:val="auto"/>
                <w:w w:val="93"/>
              </w:rPr>
              <w:t>(eXtensible Business Reporting Language): (i) Consolidated Balance Sheets as of</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460" w:type="dxa"/>
            <w:vAlign w:val="bottom"/>
            <w:gridSpan w:val="3"/>
          </w:tcPr>
          <w:p>
            <w:pPr>
              <w:ind w:left="320"/>
              <w:spacing w:after="0"/>
              <w:rPr>
                <w:sz w:val="20"/>
                <w:szCs w:val="20"/>
                <w:color w:val="auto"/>
              </w:rPr>
            </w:pPr>
            <w:r>
              <w:rPr>
                <w:rFonts w:ascii="Arial" w:cs="Arial" w:eastAsia="Arial" w:hAnsi="Arial"/>
                <w:sz w:val="18"/>
                <w:szCs w:val="18"/>
                <w:color w:val="auto"/>
                <w:w w:val="99"/>
              </w:rPr>
              <w:t>March 31, 2015 and September 30, 2014 of Enanta Pharmaceuticals, Inc., (ii)</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460" w:type="dxa"/>
            <w:vAlign w:val="bottom"/>
            <w:gridSpan w:val="3"/>
          </w:tcPr>
          <w:p>
            <w:pPr>
              <w:ind w:left="320"/>
              <w:spacing w:after="0"/>
              <w:rPr>
                <w:sz w:val="20"/>
                <w:szCs w:val="20"/>
                <w:color w:val="auto"/>
              </w:rPr>
            </w:pPr>
            <w:r>
              <w:rPr>
                <w:rFonts w:ascii="Arial" w:cs="Arial" w:eastAsia="Arial" w:hAnsi="Arial"/>
                <w:sz w:val="18"/>
                <w:szCs w:val="18"/>
                <w:color w:val="auto"/>
                <w:w w:val="93"/>
              </w:rPr>
              <w:t>Statements of Operations for the three and six months ended March 31, 2015 and</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460" w:type="dxa"/>
            <w:vAlign w:val="bottom"/>
            <w:gridSpan w:val="3"/>
          </w:tcPr>
          <w:p>
            <w:pPr>
              <w:ind w:left="320"/>
              <w:spacing w:after="0"/>
              <w:rPr>
                <w:sz w:val="20"/>
                <w:szCs w:val="20"/>
                <w:color w:val="auto"/>
              </w:rPr>
            </w:pPr>
            <w:r>
              <w:rPr>
                <w:rFonts w:ascii="Arial" w:cs="Arial" w:eastAsia="Arial" w:hAnsi="Arial"/>
                <w:sz w:val="18"/>
                <w:szCs w:val="18"/>
                <w:color w:val="auto"/>
                <w:w w:val="96"/>
              </w:rPr>
              <w:t>2014 of Enanta Pharmaceuticals, Inc., (iii) Statements of Cash Flows for the six</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6460" w:type="dxa"/>
            <w:vAlign w:val="bottom"/>
            <w:gridSpan w:val="3"/>
          </w:tcPr>
          <w:p>
            <w:pPr>
              <w:ind w:left="320"/>
              <w:spacing w:after="0"/>
              <w:rPr>
                <w:sz w:val="20"/>
                <w:szCs w:val="20"/>
                <w:color w:val="auto"/>
              </w:rPr>
            </w:pPr>
            <w:r>
              <w:rPr>
                <w:rFonts w:ascii="Arial" w:cs="Arial" w:eastAsia="Arial" w:hAnsi="Arial"/>
                <w:sz w:val="18"/>
                <w:szCs w:val="18"/>
                <w:color w:val="auto"/>
                <w:w w:val="93"/>
              </w:rPr>
              <w:t>months ended March 31, 2015 and 2014 of Enanta Pharmaceuticals, Inc., and (iv)</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 w:type="dxa"/>
            <w:vAlign w:val="bottom"/>
          </w:tcPr>
          <w:p>
            <w:pPr>
              <w:spacing w:after="0"/>
              <w:rPr>
                <w:sz w:val="20"/>
                <w:szCs w:val="20"/>
                <w:color w:val="auto"/>
              </w:rPr>
            </w:pPr>
          </w:p>
        </w:tc>
        <w:tc>
          <w:tcPr>
            <w:tcW w:w="6460" w:type="dxa"/>
            <w:vAlign w:val="bottom"/>
            <w:gridSpan w:val="3"/>
          </w:tcPr>
          <w:p>
            <w:pPr>
              <w:ind w:left="320"/>
              <w:spacing w:after="0"/>
              <w:rPr>
                <w:sz w:val="20"/>
                <w:szCs w:val="20"/>
                <w:color w:val="auto"/>
              </w:rPr>
            </w:pPr>
            <w:r>
              <w:rPr>
                <w:rFonts w:ascii="Arial" w:cs="Arial" w:eastAsia="Arial" w:hAnsi="Arial"/>
                <w:sz w:val="18"/>
                <w:szCs w:val="18"/>
                <w:color w:val="auto"/>
              </w:rPr>
              <w:t>Notes to Consolidated Financial Statements of Enanta Pharmaceuticals, Inc.</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365"/>
        </w:trPr>
        <w:tc>
          <w:tcPr>
            <w:tcW w:w="520" w:type="dxa"/>
            <w:vAlign w:val="bottom"/>
          </w:tcPr>
          <w:p>
            <w:pPr>
              <w:spacing w:after="0"/>
              <w:rPr>
                <w:sz w:val="24"/>
                <w:szCs w:val="24"/>
                <w:color w:val="auto"/>
              </w:rPr>
            </w:pPr>
          </w:p>
        </w:tc>
        <w:tc>
          <w:tcPr>
            <w:tcW w:w="6460" w:type="dxa"/>
            <w:vAlign w:val="bottom"/>
            <w:gridSpan w:val="3"/>
          </w:tcPr>
          <w:p>
            <w:pPr>
              <w:ind w:left="5100"/>
              <w:spacing w:after="0"/>
              <w:rPr>
                <w:sz w:val="20"/>
                <w:szCs w:val="20"/>
                <w:color w:val="auto"/>
              </w:rPr>
            </w:pPr>
            <w:r>
              <w:rPr>
                <w:rFonts w:ascii="Arial" w:cs="Arial" w:eastAsia="Arial" w:hAnsi="Arial"/>
                <w:sz w:val="18"/>
                <w:szCs w:val="18"/>
                <w:color w:val="auto"/>
              </w:rPr>
              <w:t>56</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FOURTH AMENDMENT TO THE COLLABORATIVE DEVELOPMENT AND LICENSE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1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This FOURTH AMENDMENT TO THE COLLABORATIVE DEVELOPMENT AND LICENSE AGREEMENT (this “Fourth Amendment”) is entered into as of March 3, 2015, by and between Enanta Pharmaceuticals, Inc., with principal offices at 500 Arsenal Street, Watertown, Massachusetts 02472 (“Enanta”), and AbbVie Inc., having a place of business at 1 North Waukegan Road, North Chicago, Illinois 60064 (“AbbVie”). AbbVie and Enanta are sometimes referred to herein individually as a “Party” and collectively as the “Parties.”</w:t>
      </w:r>
    </w:p>
    <w:p>
      <w:pPr>
        <w:spacing w:after="0" w:line="187" w:lineRule="exact"/>
        <w:rPr>
          <w:sz w:val="20"/>
          <w:szCs w:val="20"/>
          <w:color w:val="auto"/>
        </w:rPr>
      </w:pPr>
    </w:p>
    <w:p>
      <w:pPr>
        <w:ind w:right="20" w:firstLine="913"/>
        <w:spacing w:after="0" w:line="286" w:lineRule="auto"/>
        <w:rPr>
          <w:sz w:val="20"/>
          <w:szCs w:val="20"/>
          <w:color w:val="auto"/>
        </w:rPr>
      </w:pPr>
      <w:r>
        <w:rPr>
          <w:rFonts w:ascii="Arial" w:cs="Arial" w:eastAsia="Arial" w:hAnsi="Arial"/>
          <w:sz w:val="17"/>
          <w:szCs w:val="17"/>
          <w:color w:val="auto"/>
        </w:rPr>
        <w:t>WHEREAS, Enanta and AbbVie’s predecessor, Abbott Laboratories (“Abbott”), entered into the Collaborative Development and License Agreement (the “Original Agreement”), dated November 27, 2006, for the purpose of identifying, developing and commercializing Enanta’s proprietary HCV NS3 or NS3/4A protease inhibitors and/or certain of Abbott’s proprietary protease inhibitors as more fully described within the Original Agreement;</w:t>
      </w:r>
    </w:p>
    <w:p>
      <w:pPr>
        <w:spacing w:after="0" w:line="166" w:lineRule="exact"/>
        <w:rPr>
          <w:sz w:val="20"/>
          <w:szCs w:val="20"/>
          <w:color w:val="auto"/>
        </w:rPr>
      </w:pPr>
    </w:p>
    <w:p>
      <w:pPr>
        <w:jc w:val="both"/>
        <w:ind w:right="180" w:firstLine="913"/>
        <w:spacing w:after="0" w:line="286" w:lineRule="auto"/>
        <w:rPr>
          <w:sz w:val="20"/>
          <w:szCs w:val="20"/>
          <w:color w:val="auto"/>
        </w:rPr>
      </w:pPr>
      <w:r>
        <w:rPr>
          <w:rFonts w:ascii="Arial" w:cs="Arial" w:eastAsia="Arial" w:hAnsi="Arial"/>
          <w:sz w:val="17"/>
          <w:szCs w:val="17"/>
          <w:color w:val="auto"/>
        </w:rPr>
        <w:t>WHEREAS, Enanta and Abbott entered into a First Amendment to the Original Agreement, dated January 27, 2009, and a Second Amendment to the Original Agreement, dated December 9, 2009, and Enanta and AbbVie entered into a Third Amendment to the Original Agreement as of October 20, 2014 (such amendments, together with the Original Agreement, being collectively the “Agreement”); and</w:t>
      </w:r>
    </w:p>
    <w:p>
      <w:pPr>
        <w:spacing w:after="0" w:line="166"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WHEREAS, the Parties wish to amend the method for determining the foreign exchange conversion rate for purposes of computing Net Sales and calculating the quarterly Royalty Payment;</w:t>
      </w:r>
    </w:p>
    <w:p>
      <w:pPr>
        <w:spacing w:after="0" w:line="170"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NOW, THEREFORE, in consideration of the mutual covenants and agreements contained herein, and for other good and valuable consideration, the Parties hereto, intending to be legally bound, hereby agree as follows:</w:t>
      </w:r>
    </w:p>
    <w:p>
      <w:pPr>
        <w:spacing w:after="0" w:line="170" w:lineRule="exact"/>
        <w:rPr>
          <w:sz w:val="20"/>
          <w:szCs w:val="20"/>
          <w:color w:val="auto"/>
        </w:rPr>
      </w:pPr>
    </w:p>
    <w:p>
      <w:pPr>
        <w:ind w:left="640" w:hanging="17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capitalized terms used and not otherwise defined herein shall have the meanings set forth in the Agreement;</w:t>
      </w:r>
    </w:p>
    <w:p>
      <w:pPr>
        <w:spacing w:after="0" w:line="225" w:lineRule="exact"/>
        <w:rPr>
          <w:rFonts w:ascii="Arial" w:cs="Arial" w:eastAsia="Arial" w:hAnsi="Arial"/>
          <w:sz w:val="18"/>
          <w:szCs w:val="18"/>
          <w:color w:val="auto"/>
        </w:rPr>
      </w:pPr>
    </w:p>
    <w:p>
      <w:pPr>
        <w:ind w:right="460" w:firstLine="464"/>
        <w:spacing w:after="0" w:line="264" w:lineRule="auto"/>
        <w:tabs>
          <w:tab w:leader="none" w:pos="63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penultimate clause of the definition of “Foreign Currency Exchange” in Section 6.5.7 of the Agreement, which defines a factor “B” in the formula for computing Net Sales for Products sold in any currency other than the United States Dollar and calculating the quarterly Royalty Payment, is amended and restated in its entirety as follows:</w:t>
      </w:r>
    </w:p>
    <w:p>
      <w:pPr>
        <w:spacing w:after="0" w:line="73" w:lineRule="exact"/>
        <w:rPr>
          <w:sz w:val="20"/>
          <w:szCs w:val="20"/>
          <w:color w:val="auto"/>
        </w:rPr>
      </w:pPr>
    </w:p>
    <w:p>
      <w:pPr>
        <w:ind w:left="920" w:right="120"/>
        <w:spacing w:after="0" w:line="259" w:lineRule="auto"/>
        <w:rPr>
          <w:sz w:val="20"/>
          <w:szCs w:val="20"/>
          <w:color w:val="auto"/>
        </w:rPr>
      </w:pPr>
      <w:r>
        <w:rPr>
          <w:rFonts w:ascii="Arial" w:cs="Arial" w:eastAsia="Arial" w:hAnsi="Arial"/>
          <w:sz w:val="18"/>
          <w:szCs w:val="18"/>
          <w:i w:val="1"/>
          <w:iCs w:val="1"/>
          <w:color w:val="auto"/>
        </w:rPr>
        <w:t>“B = foreign exchange conversion rate, expressed in local currency of the foreign country per United States Dollar (using, as the applicable foreign exchange rate, the source rate as published by Bloomberg, or if Bloomberg is not available, then another similar third party source, and applying such foreign exchange rate in a manner consistent with AbbVie’s then standard foreign currency conversion methodology used in it business generally and consistent with GAAP); and”</w:t>
      </w:r>
    </w:p>
    <w:p>
      <w:pPr>
        <w:sectPr>
          <w:pgSz w:w="11900" w:h="16838" w:orient="portrait"/>
          <w:cols w:equalWidth="0" w:num="1">
            <w:col w:w="11420"/>
          </w:cols>
          <w:pgMar w:left="240" w:top="121" w:right="239" w:bottom="1440" w:gutter="0" w:footer="0" w:header="0"/>
        </w:sectPr>
      </w:pPr>
    </w:p>
    <w:bookmarkStart w:id="57" w:name="page58"/>
    <w:bookmarkEnd w:id="5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3. At the end of Section 6.5.7 of the Agreement, the following sentence is added;</w:t>
      </w:r>
    </w:p>
    <w:p>
      <w:pPr>
        <w:spacing w:after="0" w:line="117" w:lineRule="exact"/>
        <w:rPr>
          <w:sz w:val="20"/>
          <w:szCs w:val="20"/>
          <w:color w:val="auto"/>
        </w:rPr>
      </w:pPr>
    </w:p>
    <w:p>
      <w:pPr>
        <w:ind w:left="920" w:right="540"/>
        <w:spacing w:after="0" w:line="277" w:lineRule="auto"/>
        <w:rPr>
          <w:sz w:val="20"/>
          <w:szCs w:val="20"/>
          <w:color w:val="auto"/>
        </w:rPr>
      </w:pPr>
      <w:r>
        <w:rPr>
          <w:rFonts w:ascii="Arial" w:cs="Arial" w:eastAsia="Arial" w:hAnsi="Arial"/>
          <w:sz w:val="18"/>
          <w:szCs w:val="18"/>
          <w:i w:val="1"/>
          <w:iCs w:val="1"/>
          <w:color w:val="auto"/>
        </w:rPr>
        <w:t>“AbbVie agrees to provide Enanta reasonable notice, and a reasonable explanation, of any change in AbbVie is standard foreign currency conversion methodology used in its business generally and consistent with GAAP.”</w:t>
      </w:r>
    </w:p>
    <w:p>
      <w:pPr>
        <w:spacing w:after="0" w:line="170" w:lineRule="exact"/>
        <w:rPr>
          <w:sz w:val="20"/>
          <w:szCs w:val="20"/>
          <w:color w:val="auto"/>
        </w:rPr>
      </w:pPr>
    </w:p>
    <w:p>
      <w:pPr>
        <w:ind w:right="240" w:firstLine="464"/>
        <w:spacing w:after="0" w:line="259" w:lineRule="auto"/>
        <w:tabs>
          <w:tab w:leader="none" w:pos="636" w:val="left"/>
        </w:tabs>
        <w:numPr>
          <w:ilvl w:val="0"/>
          <w:numId w:val="41"/>
        </w:numPr>
        <w:rPr>
          <w:rFonts w:ascii="Arial" w:cs="Arial" w:eastAsia="Arial" w:hAnsi="Arial"/>
          <w:sz w:val="18"/>
          <w:szCs w:val="18"/>
          <w:color w:val="auto"/>
        </w:rPr>
      </w:pPr>
      <w:r>
        <w:rPr>
          <w:rFonts w:ascii="Arial" w:cs="Arial" w:eastAsia="Arial" w:hAnsi="Arial"/>
          <w:sz w:val="18"/>
          <w:szCs w:val="18"/>
          <w:color w:val="auto"/>
        </w:rPr>
        <w:t>Enanta and Abbott agree that this Fourth Amendment shall be annexed to and made part of the Original Agreement. Any conflicts arising between this Fourth Amendment and the Agreement shall be resolved in favor of the provisions in this Fourth Amendment, including any terms and/or definitions modified and/or made obsolete by this Fourth Amendment. Except as herein provided, all of the terms and conditions in the Agreement remain unchanged and are hereby reaffirmed.</w:t>
      </w:r>
    </w:p>
    <w:p>
      <w:pPr>
        <w:spacing w:after="0" w:line="186" w:lineRule="exact"/>
        <w:rPr>
          <w:rFonts w:ascii="Arial" w:cs="Arial" w:eastAsia="Arial" w:hAnsi="Arial"/>
          <w:sz w:val="18"/>
          <w:szCs w:val="18"/>
          <w:color w:val="auto"/>
        </w:rPr>
      </w:pPr>
    </w:p>
    <w:p>
      <w:pPr>
        <w:ind w:right="380" w:firstLine="464"/>
        <w:spacing w:after="0" w:line="277" w:lineRule="auto"/>
        <w:tabs>
          <w:tab w:leader="none" w:pos="636"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This Fourth Amendment may be executed in two or more counterparts, each of which shall be deemed an original, but all of which together will constitute one and the same instrument.</w:t>
      </w:r>
    </w:p>
    <w:p>
      <w:pPr>
        <w:spacing w:after="0" w:line="170"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IN WITNESS WHEREOF, AbbVie and Enanta have each caused this Fourth Amendment to be executed by a duly authorized representative as of the day and year first above written.</w:t>
      </w:r>
    </w:p>
    <w:p>
      <w:pPr>
        <w:spacing w:after="0" w:line="197" w:lineRule="exact"/>
        <w:rPr>
          <w:sz w:val="20"/>
          <w:szCs w:val="20"/>
          <w:color w:val="auto"/>
        </w:rPr>
      </w:pPr>
    </w:p>
    <w:tbl>
      <w:tblPr>
        <w:tblLayout w:type="fixed"/>
        <w:tblInd w:w="820" w:type="dxa"/>
        <w:tblCellMar>
          <w:top w:w="0" w:type="dxa"/>
          <w:left w:w="0" w:type="dxa"/>
          <w:bottom w:w="0" w:type="dxa"/>
          <w:right w:w="0" w:type="dxa"/>
        </w:tblCellMar>
      </w:tblP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ABBVIE INC.</w:t>
            </w:r>
          </w:p>
        </w:tc>
        <w:tc>
          <w:tcPr>
            <w:tcW w:w="5640" w:type="dxa"/>
            <w:vAlign w:val="bottom"/>
            <w:gridSpan w:val="3"/>
          </w:tcPr>
          <w:p>
            <w:pPr>
              <w:ind w:left="600"/>
              <w:spacing w:after="0"/>
              <w:rPr>
                <w:sz w:val="20"/>
                <w:szCs w:val="20"/>
                <w:color w:val="auto"/>
              </w:rPr>
            </w:pPr>
            <w:r>
              <w:rPr>
                <w:rFonts w:ascii="Arial" w:cs="Arial" w:eastAsia="Arial" w:hAnsi="Arial"/>
                <w:sz w:val="18"/>
                <w:szCs w:val="18"/>
                <w:color w:val="auto"/>
              </w:rPr>
              <w:t>ENANTA PHARMACEUTICALS, INC.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400" w:type="dxa"/>
            <w:vAlign w:val="bottom"/>
          </w:tcPr>
          <w:p>
            <w:pPr>
              <w:spacing w:after="0"/>
              <w:rPr>
                <w:sz w:val="20"/>
                <w:szCs w:val="20"/>
                <w:color w:val="auto"/>
              </w:rPr>
            </w:pPr>
            <w:r>
              <w:rPr>
                <w:rFonts w:ascii="Arial" w:cs="Arial" w:eastAsia="Arial" w:hAnsi="Arial"/>
                <w:sz w:val="18"/>
                <w:szCs w:val="18"/>
                <w:color w:val="auto"/>
              </w:rPr>
              <w:t>/s/ William J. Chase</w:t>
            </w:r>
          </w:p>
        </w:tc>
        <w:tc>
          <w:tcPr>
            <w:tcW w:w="1180" w:type="dxa"/>
            <w:vAlign w:val="bottom"/>
          </w:tcPr>
          <w:p>
            <w:pPr>
              <w:ind w:left="600"/>
              <w:spacing w:after="0"/>
              <w:rPr>
                <w:sz w:val="20"/>
                <w:szCs w:val="20"/>
                <w:color w:val="auto"/>
              </w:rPr>
            </w:pPr>
            <w:r>
              <w:rPr>
                <w:rFonts w:ascii="Arial" w:cs="Arial" w:eastAsia="Arial" w:hAnsi="Arial"/>
                <w:sz w:val="18"/>
                <w:szCs w:val="18"/>
                <w:color w:val="auto"/>
              </w:rPr>
              <w:t>By:</w:t>
            </w:r>
          </w:p>
        </w:tc>
        <w:tc>
          <w:tcPr>
            <w:tcW w:w="4460" w:type="dxa"/>
            <w:vAlign w:val="bottom"/>
            <w:gridSpan w:val="2"/>
          </w:tcPr>
          <w:p>
            <w:pPr>
              <w:ind w:left="120"/>
              <w:spacing w:after="0"/>
              <w:rPr>
                <w:sz w:val="20"/>
                <w:szCs w:val="20"/>
                <w:color w:val="auto"/>
              </w:rPr>
            </w:pPr>
            <w:r>
              <w:rPr>
                <w:rFonts w:ascii="Arial" w:cs="Arial" w:eastAsia="Arial" w:hAnsi="Arial"/>
                <w:sz w:val="18"/>
                <w:szCs w:val="18"/>
                <w:color w:val="auto"/>
              </w:rPr>
              <w:t>/s/ Paul J. Mellett</w:t>
            </w:r>
          </w:p>
        </w:tc>
      </w:tr>
      <w:tr>
        <w:trPr>
          <w:trHeight w:val="20"/>
        </w:trPr>
        <w:tc>
          <w:tcPr>
            <w:tcW w:w="560" w:type="dxa"/>
            <w:vAlign w:val="bottom"/>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r>
      <w:tr>
        <w:trPr>
          <w:trHeight w:val="439"/>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400" w:type="dxa"/>
            <w:vAlign w:val="bottom"/>
          </w:tcPr>
          <w:p>
            <w:pPr>
              <w:spacing w:after="0"/>
              <w:rPr>
                <w:sz w:val="20"/>
                <w:szCs w:val="20"/>
                <w:color w:val="auto"/>
              </w:rPr>
            </w:pPr>
            <w:r>
              <w:rPr>
                <w:rFonts w:ascii="Arial" w:cs="Arial" w:eastAsia="Arial" w:hAnsi="Arial"/>
                <w:sz w:val="18"/>
                <w:szCs w:val="18"/>
                <w:color w:val="auto"/>
              </w:rPr>
              <w:t>William J. Chase</w:t>
            </w:r>
          </w:p>
        </w:tc>
        <w:tc>
          <w:tcPr>
            <w:tcW w:w="1180" w:type="dxa"/>
            <w:vAlign w:val="bottom"/>
          </w:tcPr>
          <w:p>
            <w:pPr>
              <w:ind w:left="600"/>
              <w:spacing w:after="0"/>
              <w:rPr>
                <w:sz w:val="20"/>
                <w:szCs w:val="20"/>
                <w:color w:val="auto"/>
              </w:rPr>
            </w:pPr>
            <w:r>
              <w:rPr>
                <w:rFonts w:ascii="Arial" w:cs="Arial" w:eastAsia="Arial" w:hAnsi="Arial"/>
                <w:sz w:val="18"/>
                <w:szCs w:val="18"/>
                <w:color w:val="auto"/>
              </w:rPr>
              <w:t>Name:</w:t>
            </w:r>
          </w:p>
        </w:tc>
        <w:tc>
          <w:tcPr>
            <w:tcW w:w="4460" w:type="dxa"/>
            <w:vAlign w:val="bottom"/>
            <w:gridSpan w:val="2"/>
          </w:tcPr>
          <w:p>
            <w:pPr>
              <w:ind w:left="120"/>
              <w:spacing w:after="0"/>
              <w:rPr>
                <w:sz w:val="20"/>
                <w:szCs w:val="20"/>
                <w:color w:val="auto"/>
              </w:rPr>
            </w:pPr>
            <w:r>
              <w:rPr>
                <w:rFonts w:ascii="Arial" w:cs="Arial" w:eastAsia="Arial" w:hAnsi="Arial"/>
                <w:sz w:val="18"/>
                <w:szCs w:val="18"/>
                <w:color w:val="auto"/>
              </w:rPr>
              <w:t>Paul J. Mellett</w:t>
            </w:r>
          </w:p>
        </w:tc>
      </w:tr>
      <w:tr>
        <w:trPr>
          <w:trHeight w:val="20"/>
        </w:trPr>
        <w:tc>
          <w:tcPr>
            <w:tcW w:w="560" w:type="dxa"/>
            <w:vAlign w:val="bottom"/>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r>
      <w:tr>
        <w:trPr>
          <w:trHeight w:val="439"/>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spacing w:after="0"/>
              <w:rPr>
                <w:sz w:val="20"/>
                <w:szCs w:val="20"/>
                <w:color w:val="auto"/>
              </w:rPr>
            </w:pPr>
            <w:r>
              <w:rPr>
                <w:rFonts w:ascii="Arial" w:cs="Arial" w:eastAsia="Arial" w:hAnsi="Arial"/>
                <w:sz w:val="18"/>
                <w:szCs w:val="18"/>
                <w:color w:val="auto"/>
              </w:rPr>
              <w:t>Executive Vice President, Chief Financial Officer</w:t>
            </w:r>
          </w:p>
        </w:tc>
        <w:tc>
          <w:tcPr>
            <w:tcW w:w="1180" w:type="dxa"/>
            <w:vAlign w:val="bottom"/>
          </w:tcPr>
          <w:p>
            <w:pPr>
              <w:ind w:left="600"/>
              <w:spacing w:after="0"/>
              <w:rPr>
                <w:sz w:val="20"/>
                <w:szCs w:val="20"/>
                <w:color w:val="auto"/>
              </w:rPr>
            </w:pPr>
            <w:r>
              <w:rPr>
                <w:rFonts w:ascii="Arial" w:cs="Arial" w:eastAsia="Arial" w:hAnsi="Arial"/>
                <w:sz w:val="18"/>
                <w:szCs w:val="18"/>
                <w:color w:val="auto"/>
              </w:rPr>
              <w:t>Title:</w:t>
            </w:r>
          </w:p>
        </w:tc>
        <w:tc>
          <w:tcPr>
            <w:tcW w:w="4460" w:type="dxa"/>
            <w:vAlign w:val="bottom"/>
            <w:gridSpan w:val="2"/>
          </w:tcPr>
          <w:p>
            <w:pPr>
              <w:ind w:left="120"/>
              <w:spacing w:after="0"/>
              <w:rPr>
                <w:sz w:val="20"/>
                <w:szCs w:val="20"/>
                <w:color w:val="auto"/>
              </w:rPr>
            </w:pPr>
            <w:r>
              <w:rPr>
                <w:rFonts w:ascii="Arial" w:cs="Arial" w:eastAsia="Arial" w:hAnsi="Arial"/>
                <w:sz w:val="18"/>
                <w:szCs w:val="18"/>
                <w:color w:val="auto"/>
              </w:rPr>
              <w:t>Chief Financial Officer</w:t>
            </w:r>
          </w:p>
        </w:tc>
      </w:tr>
      <w:tr>
        <w:trPr>
          <w:trHeight w:val="20"/>
        </w:trPr>
        <w:tc>
          <w:tcPr>
            <w:tcW w:w="560" w:type="dxa"/>
            <w:vAlign w:val="bottom"/>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40" w:type="dxa"/>
            <w:vAlign w:val="bottom"/>
            <w:shd w:val="clear" w:color="auto" w:fill="000000"/>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AMENDMENT TO LEASE AGREEMENT</w:t>
      </w:r>
    </w:p>
    <w:p>
      <w:pPr>
        <w:spacing w:after="0" w:line="225" w:lineRule="exact"/>
        <w:rPr>
          <w:sz w:val="20"/>
          <w:szCs w:val="20"/>
          <w:color w:val="auto"/>
        </w:rPr>
      </w:pPr>
    </w:p>
    <w:p>
      <w:pPr>
        <w:ind w:right="240" w:firstLine="456"/>
        <w:spacing w:after="0" w:line="266" w:lineRule="auto"/>
        <w:rPr>
          <w:sz w:val="20"/>
          <w:szCs w:val="20"/>
          <w:color w:val="auto"/>
        </w:rPr>
      </w:pPr>
      <w:r>
        <w:rPr>
          <w:rFonts w:ascii="Arial" w:cs="Arial" w:eastAsia="Arial" w:hAnsi="Arial"/>
          <w:sz w:val="18"/>
          <w:szCs w:val="18"/>
          <w:color w:val="auto"/>
        </w:rPr>
        <w:t>THIS FIRST AMENDMENT TO LEASE AGREEMENT (this “</w:t>
      </w:r>
      <w:r>
        <w:rPr>
          <w:rFonts w:ascii="Arial" w:cs="Arial" w:eastAsia="Arial" w:hAnsi="Arial"/>
          <w:sz w:val="18"/>
          <w:szCs w:val="18"/>
          <w:b w:val="1"/>
          <w:bCs w:val="1"/>
          <w:color w:val="auto"/>
        </w:rPr>
        <w:t>First Amendment</w:t>
      </w:r>
      <w:r>
        <w:rPr>
          <w:rFonts w:ascii="Arial" w:cs="Arial" w:eastAsia="Arial" w:hAnsi="Arial"/>
          <w:sz w:val="18"/>
          <w:szCs w:val="18"/>
          <w:color w:val="auto"/>
        </w:rPr>
        <w:t xml:space="preserve">”) is made as of March 5, 2015, by and between </w:t>
      </w:r>
      <w:r>
        <w:rPr>
          <w:rFonts w:ascii="Arial" w:cs="Arial" w:eastAsia="Arial" w:hAnsi="Arial"/>
          <w:sz w:val="18"/>
          <w:szCs w:val="18"/>
          <w:b w:val="1"/>
          <w:bCs w:val="1"/>
          <w:color w:val="auto"/>
        </w:rPr>
        <w:t>ARE-500</w:t>
      </w:r>
      <w:r>
        <w:rPr>
          <w:rFonts w:ascii="Arial" w:cs="Arial" w:eastAsia="Arial" w:hAnsi="Arial"/>
          <w:sz w:val="18"/>
          <w:szCs w:val="18"/>
          <w:color w:val="auto"/>
        </w:rPr>
        <w:t xml:space="preserve"> </w:t>
      </w:r>
      <w:r>
        <w:rPr>
          <w:rFonts w:ascii="Arial" w:cs="Arial" w:eastAsia="Arial" w:hAnsi="Arial"/>
          <w:sz w:val="18"/>
          <w:szCs w:val="18"/>
          <w:b w:val="1"/>
          <w:bCs w:val="1"/>
          <w:color w:val="auto"/>
        </w:rPr>
        <w:t>ARSENAL STREET,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and</w:t>
      </w:r>
      <w:r>
        <w:rPr>
          <w:rFonts w:ascii="Arial" w:cs="Arial" w:eastAsia="Arial" w:hAnsi="Arial"/>
          <w:sz w:val="18"/>
          <w:szCs w:val="18"/>
          <w:b w:val="1"/>
          <w:bCs w:val="1"/>
          <w:color w:val="auto"/>
        </w:rPr>
        <w:t xml:space="preserve"> ENANTA PHARMACEUTICALS, INC.</w:t>
      </w:r>
      <w:r>
        <w:rPr>
          <w:rFonts w:ascii="Arial" w:cs="Arial" w:eastAsia="Arial" w:hAnsi="Arial"/>
          <w:sz w:val="18"/>
          <w:szCs w:val="18"/>
          <w:color w:val="auto"/>
        </w:rPr>
        <w:t>, a Delaware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color w:val="auto"/>
        </w:rPr>
        <w:t>Tenant</w:t>
      </w:r>
      <w:r>
        <w:rPr>
          <w:rFonts w:ascii="Arial" w:cs="Arial" w:eastAsia="Arial" w:hAnsi="Arial"/>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120" w:firstLine="456"/>
        <w:spacing w:after="0" w:line="261" w:lineRule="auto"/>
        <w:rPr>
          <w:sz w:val="20"/>
          <w:szCs w:val="20"/>
          <w:color w:val="auto"/>
        </w:rPr>
      </w:pPr>
      <w:r>
        <w:rPr>
          <w:rFonts w:ascii="Arial" w:cs="Arial" w:eastAsia="Arial" w:hAnsi="Arial"/>
          <w:sz w:val="18"/>
          <w:szCs w:val="18"/>
          <w:b w:val="1"/>
          <w:bCs w:val="1"/>
          <w:color w:val="auto"/>
        </w:rPr>
        <w:t xml:space="preserve">A. </w:t>
      </w:r>
      <w:r>
        <w:rPr>
          <w:rFonts w:ascii="Arial" w:cs="Arial" w:eastAsia="Arial" w:hAnsi="Arial"/>
          <w:sz w:val="18"/>
          <w:szCs w:val="18"/>
          <w:color w:val="auto"/>
        </w:rPr>
        <w:t>Landlord and Tenant are now parties to that certain Lease Agreement dated as of April 15, 2011 (the “</w:t>
      </w:r>
      <w:r>
        <w:rPr>
          <w:rFonts w:ascii="Arial" w:cs="Arial" w:eastAsia="Arial" w:hAnsi="Arial"/>
          <w:sz w:val="18"/>
          <w:szCs w:val="18"/>
          <w:b w:val="1"/>
          <w:bCs w:val="1"/>
          <w:color w:val="auto"/>
        </w:rPr>
        <w:t>Lease</w:t>
      </w:r>
      <w:r>
        <w:rPr>
          <w:rFonts w:ascii="Arial" w:cs="Arial" w:eastAsia="Arial" w:hAnsi="Arial"/>
          <w:sz w:val="18"/>
          <w:szCs w:val="18"/>
          <w:color w:val="auto"/>
        </w:rPr>
        <w:t>”). Pursuant to the Lease, Tenant leases</w:t>
      </w:r>
      <w:r>
        <w:rPr>
          <w:rFonts w:ascii="Arial" w:cs="Arial" w:eastAsia="Arial" w:hAnsi="Arial"/>
          <w:sz w:val="18"/>
          <w:szCs w:val="18"/>
          <w:b w:val="1"/>
          <w:bCs w:val="1"/>
          <w:color w:val="auto"/>
        </w:rPr>
        <w:t xml:space="preserve"> </w:t>
      </w:r>
      <w:r>
        <w:rPr>
          <w:rFonts w:ascii="Arial" w:cs="Arial" w:eastAsia="Arial" w:hAnsi="Arial"/>
          <w:sz w:val="18"/>
          <w:szCs w:val="18"/>
          <w:color w:val="auto"/>
        </w:rPr>
        <w:t>certain premises consisting of approximately 24,576 rentable square feet (“</w:t>
      </w:r>
      <w:r>
        <w:rPr>
          <w:rFonts w:ascii="Arial" w:cs="Arial" w:eastAsia="Arial" w:hAnsi="Arial"/>
          <w:sz w:val="18"/>
          <w:szCs w:val="18"/>
          <w:b w:val="1"/>
          <w:bCs w:val="1"/>
          <w:color w:val="auto"/>
        </w:rPr>
        <w:t>Original Premises</w:t>
      </w:r>
      <w:r>
        <w:rPr>
          <w:rFonts w:ascii="Arial" w:cs="Arial" w:eastAsia="Arial" w:hAnsi="Arial"/>
          <w:sz w:val="18"/>
          <w:szCs w:val="18"/>
          <w:color w:val="auto"/>
        </w:rPr>
        <w:t>”) in a building located at 500 Arsenal Street, Watertown, Massachusetts. The Original Premises are more particularly described in the Lease. Capitalized terms used herein without definition shall have the meanings defined for such terms in the Lease.</w:t>
      </w:r>
    </w:p>
    <w:p>
      <w:pPr>
        <w:spacing w:after="0" w:line="180"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b w:val="1"/>
          <w:bCs w:val="1"/>
          <w:color w:val="auto"/>
        </w:rPr>
        <w:t xml:space="preserve">B. </w:t>
      </w:r>
      <w:r>
        <w:rPr>
          <w:rFonts w:ascii="Arial" w:cs="Arial" w:eastAsia="Arial" w:hAnsi="Arial"/>
          <w:sz w:val="18"/>
          <w:szCs w:val="18"/>
          <w:color w:val="auto"/>
        </w:rPr>
        <w:t>Landlord and Tenant desire, subject to the terms and conditions set forth below, to amend the Lease to, among other things, expand the size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Original Premises by adding that portion of the Building consisting of approximately 23,940 rentable square feet, as shown on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attached to this First Amendment (the “</w:t>
      </w:r>
      <w:r>
        <w:rPr>
          <w:rFonts w:ascii="Arial" w:cs="Arial" w:eastAsia="Arial" w:hAnsi="Arial"/>
          <w:sz w:val="18"/>
          <w:szCs w:val="18"/>
          <w:b w:val="1"/>
          <w:bCs w:val="1"/>
          <w:color w:val="auto"/>
        </w:rPr>
        <w:t>Expansion Premises</w:t>
      </w:r>
      <w:r>
        <w:rPr>
          <w:rFonts w:ascii="Arial" w:cs="Arial" w:eastAsia="Arial" w:hAnsi="Arial"/>
          <w:sz w:val="18"/>
          <w:szCs w:val="18"/>
          <w:color w:val="auto"/>
        </w:rPr>
        <w:t>”).</w:t>
      </w:r>
    </w:p>
    <w:p>
      <w:pPr>
        <w:spacing w:after="0" w:line="176" w:lineRule="exact"/>
        <w:rPr>
          <w:sz w:val="20"/>
          <w:szCs w:val="20"/>
          <w:color w:val="auto"/>
        </w:rPr>
      </w:pPr>
    </w:p>
    <w:p>
      <w:pPr>
        <w:jc w:val="both"/>
        <w:ind w:right="80" w:firstLine="456"/>
        <w:spacing w:after="0" w:line="266"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Recitals, which are incorporated herein by this reference, the mutual promises and conditions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contained herein, and for other good and valuable consideration, the receipt and sufficiency of which are hereby acknowledged, Landlord and Tenant hereby agree as follows:</w:t>
      </w:r>
    </w:p>
    <w:p>
      <w:pPr>
        <w:spacing w:after="0" w:line="82" w:lineRule="exact"/>
        <w:rPr>
          <w:sz w:val="20"/>
          <w:szCs w:val="20"/>
          <w:color w:val="auto"/>
        </w:rPr>
      </w:pPr>
    </w:p>
    <w:p>
      <w:pPr>
        <w:ind w:left="460" w:hanging="452"/>
        <w:spacing w:after="0" w:line="282" w:lineRule="auto"/>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Expansion Premises</w:t>
      </w:r>
      <w:r>
        <w:rPr>
          <w:rFonts w:ascii="Arial" w:cs="Arial" w:eastAsia="Arial" w:hAnsi="Arial"/>
          <w:sz w:val="18"/>
          <w:szCs w:val="18"/>
          <w:color w:val="auto"/>
        </w:rPr>
        <w:t>. In addition to the Original Premises, commencing on the Expansion Premises Commencement Date (as defined below),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leases to Tenant, and Tenant leases from Landlord, the Expansion Premises.</w:t>
      </w:r>
    </w:p>
    <w:p>
      <w:pPr>
        <w:spacing w:after="0" w:line="67" w:lineRule="exact"/>
        <w:rPr>
          <w:rFonts w:ascii="Arial" w:cs="Arial" w:eastAsia="Arial" w:hAnsi="Arial"/>
          <w:sz w:val="18"/>
          <w:szCs w:val="18"/>
          <w:b w:val="1"/>
          <w:bCs w:val="1"/>
          <w:color w:val="auto"/>
        </w:rPr>
      </w:pPr>
    </w:p>
    <w:p>
      <w:pPr>
        <w:ind w:left="460" w:right="60" w:hanging="452"/>
        <w:spacing w:after="0" w:line="285" w:lineRule="auto"/>
        <w:tabs>
          <w:tab w:leader="none" w:pos="46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Delivery</w:t>
      </w:r>
      <w:r>
        <w:rPr>
          <w:rFonts w:ascii="Arial" w:cs="Arial" w:eastAsia="Arial" w:hAnsi="Arial"/>
          <w:sz w:val="16"/>
          <w:szCs w:val="16"/>
          <w:color w:val="auto"/>
        </w:rPr>
        <w:t>. Landlord shall use reasonable efforts to cause the Expansion Premises Commencement Date (as defined below) to occur on or before the</w:t>
      </w:r>
      <w:r>
        <w:rPr>
          <w:rFonts w:ascii="Arial" w:cs="Arial" w:eastAsia="Arial" w:hAnsi="Arial"/>
          <w:sz w:val="16"/>
          <w:szCs w:val="16"/>
          <w:b w:val="1"/>
          <w:bCs w:val="1"/>
          <w:color w:val="auto"/>
        </w:rPr>
        <w:t xml:space="preserve"> </w:t>
      </w:r>
      <w:r>
        <w:rPr>
          <w:rFonts w:ascii="Arial" w:cs="Arial" w:eastAsia="Arial" w:hAnsi="Arial"/>
          <w:sz w:val="16"/>
          <w:szCs w:val="16"/>
          <w:color w:val="auto"/>
        </w:rPr>
        <w:t>Target Expansion Premises Commencement Date. The “</w:t>
      </w:r>
      <w:r>
        <w:rPr>
          <w:rFonts w:ascii="Arial" w:cs="Arial" w:eastAsia="Arial" w:hAnsi="Arial"/>
          <w:sz w:val="16"/>
          <w:szCs w:val="16"/>
          <w:b w:val="1"/>
          <w:bCs w:val="1"/>
          <w:color w:val="auto"/>
        </w:rPr>
        <w:t>Target Expansion Premises Commencement Date</w:t>
      </w:r>
      <w:r>
        <w:rPr>
          <w:rFonts w:ascii="Arial" w:cs="Arial" w:eastAsia="Arial" w:hAnsi="Arial"/>
          <w:sz w:val="16"/>
          <w:szCs w:val="16"/>
          <w:color w:val="auto"/>
        </w:rPr>
        <w:t>” shall be June 8, 2015. If the Expansion Premises Commencement Date fails to timely occur, Landlord shall not be liable to Tenant for any loss or damage resulting therefrom, and the Lease with respect to the Expansion Premises shall not be void or voidable except as provided herein. Notwithstanding the foregoing, Base Rent payable with respect to the Expansion Premises only shall (i) if the Expansion Premises Commencement Date fails to occur on or before July 8, 2015 (as such date may be extended by Force Majeure delays), be abated 1 day for each day after July 8, 2015 (as such date may be extended by Force Majeure delays) through August 7, 2015 (as such date may be extended by Force Majeure delays) that the Expansion Premises Commencement Date fails to occur, and</w:t>
      </w:r>
    </w:p>
    <w:p>
      <w:pPr>
        <w:spacing w:after="0" w:line="1" w:lineRule="exact"/>
        <w:rPr>
          <w:rFonts w:ascii="Arial" w:cs="Arial" w:eastAsia="Arial" w:hAnsi="Arial"/>
          <w:sz w:val="16"/>
          <w:szCs w:val="16"/>
          <w:b w:val="1"/>
          <w:bCs w:val="1"/>
          <w:color w:val="auto"/>
        </w:rPr>
      </w:pPr>
    </w:p>
    <w:p>
      <w:pPr>
        <w:ind w:left="460" w:right="20" w:hanging="6"/>
        <w:spacing w:after="0" w:line="287" w:lineRule="auto"/>
        <w:tabs>
          <w:tab w:leader="none" w:pos="725" w:val="left"/>
        </w:tabs>
        <w:numPr>
          <w:ilvl w:val="1"/>
          <w:numId w:val="42"/>
        </w:numPr>
        <w:rPr>
          <w:rFonts w:ascii="Arial" w:cs="Arial" w:eastAsia="Arial" w:hAnsi="Arial"/>
          <w:sz w:val="16"/>
          <w:szCs w:val="16"/>
          <w:color w:val="auto"/>
        </w:rPr>
      </w:pPr>
      <w:r>
        <w:rPr>
          <w:rFonts w:ascii="Arial" w:cs="Arial" w:eastAsia="Arial" w:hAnsi="Arial"/>
          <w:sz w:val="16"/>
          <w:szCs w:val="16"/>
          <w:color w:val="auto"/>
        </w:rPr>
        <w:t xml:space="preserve">if the Expansion Premises Commencement Date fails to occur on or before August 7, 2015 (as such date may be extended by Force Majeure delays), be abated 2 days for each day that the Expansion Premises Commencement Date fails to occur. If the Expansion Premises Commencement Date fails to occur within 120 days of the Target Expansion Premises Commencement Date for any reason other than Force Majeure, the Lease with respect to the Expansion Premises only may be terminated by Tenant by written notice to the Landlord, and if so terminated by Tenant: (a) the additional Security Deposit provided for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or any balance thereof (i.e., after deducting therefrom all amounts to which Landlord is entitled under the provisions of the Lease), shall be returned to Tenant, and (b) neither Landlord nor Tenant shall have any further rights, duties or obligations with respect to the Expansion Premises, except with respect to provisions which expressly survive termination of the Lease. For the avoidance of doubt, if the Lease is terminated pursuant to this paragraph with respect to the Expansion Premises, all of the provisions of this First Amendment shall be null and void except for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and, so long as Tenant’s Expansion Right has not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71755</wp:posOffset>
            </wp:positionV>
            <wp:extent cx="2641600" cy="3517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4160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1" w:right="239" w:bottom="1440" w:gutter="0" w:footer="0" w:header="0"/>
        </w:sectPr>
      </w:pPr>
    </w:p>
    <w:bookmarkStart w:id="59" w:name="page60"/>
    <w:bookmarkEnd w:id="59"/>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terminated pursuant to the terms of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Tenant shall continue to have such Expansion Right with respect to the Available Space subject to the terms of </w:t>
      </w:r>
      <w:r>
        <w:rPr>
          <w:rFonts w:ascii="Arial" w:cs="Arial" w:eastAsia="Arial" w:hAnsi="Arial"/>
          <w:sz w:val="18"/>
          <w:szCs w:val="18"/>
          <w:u w:val="single" w:color="auto"/>
          <w:color w:val="auto"/>
        </w:rPr>
        <w:t>Section 11</w:t>
      </w:r>
      <w:r>
        <w:rPr>
          <w:rFonts w:ascii="Arial" w:cs="Arial" w:eastAsia="Arial" w:hAnsi="Arial"/>
          <w:sz w:val="18"/>
          <w:szCs w:val="18"/>
          <w:color w:val="auto"/>
        </w:rPr>
        <w:t>. If Tenant does not elect to terminate the Lease with respect to the Expansion Premises within 10 business days of the lapse of such 120 day period, such right to terminate the Lease with respect to the Expansion Premises shall be waived and this Lease shall remain in full force and effect.</w:t>
      </w:r>
    </w:p>
    <w:p>
      <w:pPr>
        <w:spacing w:after="0" w:line="7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color w:val="auto"/>
        </w:rPr>
        <w:t>Expansion Premises Commencement Date</w:t>
      </w:r>
      <w:r>
        <w:rPr>
          <w:rFonts w:ascii="Arial" w:cs="Arial" w:eastAsia="Arial" w:hAnsi="Arial"/>
          <w:sz w:val="17"/>
          <w:szCs w:val="17"/>
          <w:color w:val="auto"/>
        </w:rPr>
        <w:t>” shall be the date that is 1 business day after the tenant occupying the Expansion Premises as of the date of this First Amendment surrenders the Premises such that Landlord can commence construction of the portion of Landlord’s Work to be performed in the Expansion Premises; provided, however, that in no event shall the Expansion Premises Commencement Date occur prior to June 8, 2015. The “</w:t>
      </w:r>
      <w:r>
        <w:rPr>
          <w:rFonts w:ascii="Arial" w:cs="Arial" w:eastAsia="Arial" w:hAnsi="Arial"/>
          <w:sz w:val="17"/>
          <w:szCs w:val="17"/>
          <w:b w:val="1"/>
          <w:bCs w:val="1"/>
          <w:color w:val="auto"/>
        </w:rPr>
        <w:t>Expansion Premises Rent Commencement Date</w:t>
      </w:r>
      <w:r>
        <w:rPr>
          <w:rFonts w:ascii="Arial" w:cs="Arial" w:eastAsia="Arial" w:hAnsi="Arial"/>
          <w:sz w:val="17"/>
          <w:szCs w:val="17"/>
          <w:color w:val="auto"/>
        </w:rPr>
        <w:t xml:space="preserve">” shall be the date that is 60 days after the Expansion Premises Commencement Date, notwithstanding the fact that Landlord’s Work in the Expansion Premises may be ongoing and Tenant may not have the use and occupancy of the Expansion Premises on such date. Upon the request of Landlord, Tenant shall execute and deliver a written acknowledgment of the Expansion Premises Commencement Date, the Expansion Premises Rent Commencement Date and the expiration date of the Lease in substantially the form of the “Acknowledgement of Commencement Date” attached to the Lease as </w:t>
      </w:r>
      <w:r>
        <w:rPr>
          <w:rFonts w:ascii="Arial" w:cs="Arial" w:eastAsia="Arial" w:hAnsi="Arial"/>
          <w:sz w:val="17"/>
          <w:szCs w:val="17"/>
          <w:b w:val="1"/>
          <w:bCs w:val="1"/>
          <w:color w:val="auto"/>
        </w:rPr>
        <w:t>Exhibit D</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Tenant’s failure to execute and deliver such acknowledgment shall not affect Landlord’s rights hereunder.</w:t>
      </w:r>
    </w:p>
    <w:p>
      <w:pPr>
        <w:spacing w:after="0" w:line="70"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 xml:space="preserve">Subject to applicable Legal Requirements, Tenant shall have the right to occupy a portion of the Expansion Premises (except those portions of the Expansion Premises in which Landlord’s Work is being performed while Landlord’s Work is being performed in such portions), at Tenant’s sole risk and expense, during the performance of Landlord’s Work in the Expansion Premises. Tenant acknowledges that Landlord shall require access to the Expansion Premises and portions the Original Premises following the Expansion Premises Commencement Date in order to complete Landlord’s Work (as defined in the Work Letter attached to this First Amendment as </w:t>
      </w:r>
      <w:r>
        <w:rPr>
          <w:rFonts w:ascii="Arial" w:cs="Arial" w:eastAsia="Arial" w:hAnsi="Arial"/>
          <w:sz w:val="16"/>
          <w:szCs w:val="16"/>
          <w:b w:val="1"/>
          <w:bCs w:val="1"/>
          <w:color w:val="auto"/>
        </w:rPr>
        <w:t>Exhibit C</w:t>
      </w:r>
      <w:r>
        <w:rPr>
          <w:rFonts w:ascii="Arial" w:cs="Arial" w:eastAsia="Arial" w:hAnsi="Arial"/>
          <w:sz w:val="16"/>
          <w:szCs w:val="16"/>
          <w:color w:val="auto"/>
        </w:rPr>
        <w:t xml:space="preserve"> (the “</w:t>
      </w:r>
      <w:r>
        <w:rPr>
          <w:rFonts w:ascii="Arial" w:cs="Arial" w:eastAsia="Arial" w:hAnsi="Arial"/>
          <w:sz w:val="16"/>
          <w:szCs w:val="16"/>
          <w:b w:val="1"/>
          <w:bCs w:val="1"/>
          <w:color w:val="auto"/>
        </w:rPr>
        <w:t>Work Letter</w:t>
      </w:r>
      <w:r>
        <w:rPr>
          <w:rFonts w:ascii="Arial" w:cs="Arial" w:eastAsia="Arial" w:hAnsi="Arial"/>
          <w:sz w:val="16"/>
          <w:szCs w:val="16"/>
          <w:color w:val="auto"/>
        </w:rPr>
        <w:t xml:space="preserve">”)). Landlord and its contractors and agents shall have the right to enter the Expansion Premises and the Original Premises following the Expansion Premises Commencement Date in order to complete Landlord’s Work (as defined in the Work Letter). Tenant acknowledges that Landlord’s completion of Landlord’s Work in the Expansion Premises and the Original Premises may adversely affect Tenant’s use and occupancy of the Expansion Premises and/or the Original Premises. Landlord shall endeavor to minimize interference with Tenant’s business operations in the Expansion Premises and the Original Premises in connection with Landlord’s performance of Landlord’s Work. Except as expressly provided in the first paragraph of this </w:t>
      </w:r>
      <w:r>
        <w:rPr>
          <w:rFonts w:ascii="Arial" w:cs="Arial" w:eastAsia="Arial" w:hAnsi="Arial"/>
          <w:sz w:val="16"/>
          <w:szCs w:val="16"/>
          <w:u w:val="single" w:color="auto"/>
          <w:color w:val="auto"/>
        </w:rPr>
        <w:t>Section 2</w:t>
      </w:r>
      <w:r>
        <w:rPr>
          <w:rFonts w:ascii="Arial" w:cs="Arial" w:eastAsia="Arial" w:hAnsi="Arial"/>
          <w:sz w:val="16"/>
          <w:szCs w:val="16"/>
          <w:color w:val="auto"/>
        </w:rPr>
        <w:t>, Tenant waives all claims against Landlord for rent abatement in connection with Landlord’s performance of Landlord’s Work in the Expansion Premises and the Original Premises.</w:t>
      </w:r>
    </w:p>
    <w:p>
      <w:pPr>
        <w:spacing w:after="0" w:line="6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For the period of 90 consecutive days after Substantial Completion (as defined in the Work Letter) of Landlord’s Work, Landlord shall, at its sole cost and expense (which shall not constitute an Operating Expense), be responsible for any repairs that are required to be made to the Building Systems serving the Expansion Premises, unless Tenant or any Tenant Party was responsible for the cause of such repair, in which case Tenant shall pay the cost.</w:t>
      </w:r>
    </w:p>
    <w:p>
      <w:pPr>
        <w:spacing w:after="0" w:line="3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or before the Expansion Premises Commencement Date, Landlord shall, subject to Landlord’s standard non-reliance letter, deliver to Tenant copies of the final surrender report (which report relates to the decommissioning of the Premises by the tenant occupying the Expansion Premises as of the date of this First Amendment) delivered to Landlord by the tenant occupying the Expansion Premises as of the date of this First Amendment pursuant to its lease.</w:t>
      </w:r>
    </w:p>
    <w:p>
      <w:pPr>
        <w:spacing w:after="0" w:line="7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Except as otherwise set forth in this First Amendment and the Work Letter: (i) Tenant shall accept the Expansion Premises in their condition as of the Substantial Completion of Landlord’s Work, subject to all applicable Legal Requirements; and (ii) Tenant’s taking possession of the Expansion Premises shall be conclusive evidence that Tenant accepts the Expansion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4318000</wp:posOffset>
            </wp:positionH>
            <wp:positionV relativeFrom="paragraph">
              <wp:posOffset>81280</wp:posOffset>
            </wp:positionV>
            <wp:extent cx="2641600" cy="3517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64160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700" w:top="274" w:right="259" w:bottom="1440" w:gutter="0" w:footer="0" w:header="0"/>
        </w:sectPr>
      </w:pPr>
    </w:p>
    <w:bookmarkStart w:id="60" w:name="page61"/>
    <w:bookmarkEnd w:id="60"/>
    <w:p>
      <w:pPr>
        <w:ind w:left="452" w:right="4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otherwise provided in this First Amendment, Tenant agrees and acknowledges that neither Landlord nor any agent of Landlord has made any representation or warranty with respect to the condition of all or any portion of the Expansion Premises, and/or the suitability of the Expansion Premises for the conduct of Tenant’s business, and Tenant waives any implied warranty that the Expansion Premises are suitable for the Permitted Use.</w:t>
      </w:r>
    </w:p>
    <w:p>
      <w:pPr>
        <w:spacing w:after="0" w:line="48" w:lineRule="exact"/>
        <w:rPr>
          <w:sz w:val="20"/>
          <w:szCs w:val="20"/>
          <w:color w:val="auto"/>
        </w:rPr>
      </w:pPr>
    </w:p>
    <w:p>
      <w:pPr>
        <w:ind w:left="452" w:right="840" w:hanging="452"/>
        <w:spacing w:after="0" w:line="347" w:lineRule="auto"/>
        <w:tabs>
          <w:tab w:leader="none" w:pos="452"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Definition of Premises and Rentable Area of Premises</w:t>
      </w:r>
      <w:r>
        <w:rPr>
          <w:rFonts w:ascii="Arial" w:cs="Arial" w:eastAsia="Arial" w:hAnsi="Arial"/>
          <w:sz w:val="16"/>
          <w:szCs w:val="16"/>
          <w:color w:val="auto"/>
        </w:rPr>
        <w:t>. Commencing on the Expansion Premises Commencement Date, the defined terms</w:t>
      </w:r>
      <w:r>
        <w:rPr>
          <w:rFonts w:ascii="Arial" w:cs="Arial" w:eastAsia="Arial" w:hAnsi="Arial"/>
          <w:sz w:val="16"/>
          <w:szCs w:val="16"/>
          <w:b w:val="1"/>
          <w:bCs w:val="1"/>
          <w:color w:val="auto"/>
        </w:rPr>
        <w:t xml:space="preserve"> </w:t>
      </w:r>
      <w:r>
        <w:rPr>
          <w:rFonts w:ascii="Arial" w:cs="Arial" w:eastAsia="Arial" w:hAnsi="Arial"/>
          <w:sz w:val="16"/>
          <w:szCs w:val="16"/>
          <w:color w:val="auto"/>
        </w:rPr>
        <w:t>“</w:t>
      </w:r>
      <w:r>
        <w:rPr>
          <w:rFonts w:ascii="Arial" w:cs="Arial" w:eastAsia="Arial" w:hAnsi="Arial"/>
          <w:sz w:val="16"/>
          <w:szCs w:val="16"/>
          <w:b w:val="1"/>
          <w:bCs w:val="1"/>
          <w:color w:val="auto"/>
        </w:rPr>
        <w:t>Premises</w:t>
      </w:r>
      <w:r>
        <w:rPr>
          <w:rFonts w:ascii="Arial" w:cs="Arial" w:eastAsia="Arial" w:hAnsi="Arial"/>
          <w:sz w:val="16"/>
          <w:szCs w:val="16"/>
          <w:color w:val="auto"/>
        </w:rPr>
        <w:t>” and “</w:t>
      </w:r>
      <w:r>
        <w:rPr>
          <w:rFonts w:ascii="Arial" w:cs="Arial" w:eastAsia="Arial" w:hAnsi="Arial"/>
          <w:sz w:val="16"/>
          <w:szCs w:val="16"/>
          <w:b w:val="1"/>
          <w:bCs w:val="1"/>
          <w:color w:val="auto"/>
        </w:rPr>
        <w:t>Rentable Area of Premises</w:t>
      </w:r>
      <w:r>
        <w:rPr>
          <w:rFonts w:ascii="Arial" w:cs="Arial" w:eastAsia="Arial" w:hAnsi="Arial"/>
          <w:sz w:val="16"/>
          <w:szCs w:val="16"/>
          <w:color w:val="auto"/>
        </w:rPr>
        <w:t>” on Page 1 of the Lease shall be deleted in their entirety and replaced with the following:</w:t>
      </w:r>
    </w:p>
    <w:p>
      <w:pPr>
        <w:spacing w:after="0" w:line="8" w:lineRule="exact"/>
        <w:rPr>
          <w:sz w:val="20"/>
          <w:szCs w:val="20"/>
          <w:color w:val="auto"/>
        </w:rPr>
      </w:pPr>
    </w:p>
    <w:p>
      <w:pPr>
        <w:ind w:left="452" w:right="240" w:firstLine="43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Premises:</w:t>
      </w:r>
      <w:r>
        <w:rPr>
          <w:rFonts w:ascii="Arial" w:cs="Arial" w:eastAsia="Arial" w:hAnsi="Arial"/>
          <w:sz w:val="18"/>
          <w:szCs w:val="18"/>
          <w:color w:val="auto"/>
        </w:rPr>
        <w:t xml:space="preserve"> That portion of the Building containing approximately 48,516 rentable square feet, consisting of (i) approximately 24,576 rentable square feet, and (ii) approximately 23,940 rentable square feet, all as shown on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54" w:lineRule="exact"/>
        <w:rPr>
          <w:sz w:val="20"/>
          <w:szCs w:val="20"/>
          <w:color w:val="auto"/>
        </w:rPr>
      </w:pPr>
    </w:p>
    <w:p>
      <w:pPr>
        <w:ind w:left="89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Rentable Area of Premises:</w:t>
      </w:r>
      <w:r>
        <w:rPr>
          <w:rFonts w:ascii="Arial" w:cs="Arial" w:eastAsia="Arial" w:hAnsi="Arial"/>
          <w:sz w:val="18"/>
          <w:szCs w:val="18"/>
          <w:color w:val="auto"/>
        </w:rPr>
        <w:t xml:space="preserve"> 48,516 sq. ft.”</w:t>
      </w:r>
    </w:p>
    <w:p>
      <w:pPr>
        <w:spacing w:after="0" w:line="117" w:lineRule="exact"/>
        <w:rPr>
          <w:sz w:val="20"/>
          <w:szCs w:val="20"/>
          <w:color w:val="auto"/>
        </w:rPr>
      </w:pPr>
    </w:p>
    <w:p>
      <w:pPr>
        <w:ind w:left="452" w:right="40"/>
        <w:spacing w:after="0" w:line="282" w:lineRule="auto"/>
        <w:rPr>
          <w:sz w:val="20"/>
          <w:szCs w:val="20"/>
          <w:color w:val="auto"/>
        </w:rPr>
      </w:pPr>
      <w:r>
        <w:rPr>
          <w:rFonts w:ascii="Arial" w:cs="Arial" w:eastAsia="Arial" w:hAnsi="Arial"/>
          <w:sz w:val="18"/>
          <w:szCs w:val="18"/>
          <w:color w:val="auto"/>
        </w:rPr>
        <w:t xml:space="preserve">As of the Expansion Premises Commencement Date, </w:t>
      </w:r>
      <w:r>
        <w:rPr>
          <w:rFonts w:ascii="Arial" w:cs="Arial" w:eastAsia="Arial" w:hAnsi="Arial"/>
          <w:sz w:val="18"/>
          <w:szCs w:val="18"/>
          <w:b w:val="1"/>
          <w:bCs w:val="1"/>
          <w:color w:val="auto"/>
        </w:rPr>
        <w:t>Exhibit A</w:t>
      </w:r>
      <w:r>
        <w:rPr>
          <w:rFonts w:ascii="Arial" w:cs="Arial" w:eastAsia="Arial" w:hAnsi="Arial"/>
          <w:sz w:val="18"/>
          <w:szCs w:val="18"/>
          <w:color w:val="auto"/>
        </w:rPr>
        <w:t xml:space="preserve"> to the Lease shall be amended to include the Expansion Premises as shown on </w:t>
      </w:r>
      <w:r>
        <w:rPr>
          <w:rFonts w:ascii="Arial" w:cs="Arial" w:eastAsia="Arial" w:hAnsi="Arial"/>
          <w:sz w:val="18"/>
          <w:szCs w:val="18"/>
          <w:b w:val="1"/>
          <w:bCs w:val="1"/>
          <w:color w:val="auto"/>
        </w:rPr>
        <w:t>Exhibit</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 </w:t>
      </w:r>
      <w:r>
        <w:rPr>
          <w:rFonts w:ascii="Arial" w:cs="Arial" w:eastAsia="Arial" w:hAnsi="Arial"/>
          <w:sz w:val="18"/>
          <w:szCs w:val="18"/>
          <w:color w:val="auto"/>
        </w:rPr>
        <w:t>attached to this First Amendment.</w:t>
      </w:r>
    </w:p>
    <w:p>
      <w:pPr>
        <w:spacing w:after="0" w:line="67" w:lineRule="exact"/>
        <w:rPr>
          <w:sz w:val="20"/>
          <w:szCs w:val="20"/>
          <w:color w:val="auto"/>
        </w:rPr>
      </w:pPr>
    </w:p>
    <w:p>
      <w:pPr>
        <w:ind w:left="452" w:right="380" w:hanging="452"/>
        <w:spacing w:after="0" w:line="282" w:lineRule="auto"/>
        <w:tabs>
          <w:tab w:leader="none" w:pos="452"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Base Term</w:t>
      </w:r>
      <w:r>
        <w:rPr>
          <w:rFonts w:ascii="Arial" w:cs="Arial" w:eastAsia="Arial" w:hAnsi="Arial"/>
          <w:sz w:val="18"/>
          <w:szCs w:val="18"/>
          <w:color w:val="auto"/>
        </w:rPr>
        <w:t>. Commencing on the Expansion Premises Commencement Date, the defined term “</w:t>
      </w:r>
      <w:r>
        <w:rPr>
          <w:rFonts w:ascii="Arial" w:cs="Arial" w:eastAsia="Arial" w:hAnsi="Arial"/>
          <w:sz w:val="18"/>
          <w:szCs w:val="18"/>
          <w:b w:val="1"/>
          <w:bCs w:val="1"/>
          <w:color w:val="auto"/>
        </w:rPr>
        <w:t>Base Term</w:t>
      </w:r>
      <w:r>
        <w:rPr>
          <w:rFonts w:ascii="Arial" w:cs="Arial" w:eastAsia="Arial" w:hAnsi="Arial"/>
          <w:sz w:val="18"/>
          <w:szCs w:val="18"/>
          <w:color w:val="auto"/>
        </w:rPr>
        <w:t>” on page 2 of the Lease is deleted in its</w:t>
      </w:r>
      <w:r>
        <w:rPr>
          <w:rFonts w:ascii="Arial" w:cs="Arial" w:eastAsia="Arial" w:hAnsi="Arial"/>
          <w:sz w:val="18"/>
          <w:szCs w:val="18"/>
          <w:b w:val="1"/>
          <w:bCs w:val="1"/>
          <w:color w:val="auto"/>
        </w:rPr>
        <w:t xml:space="preserve"> </w:t>
      </w:r>
      <w:r>
        <w:rPr>
          <w:rFonts w:ascii="Arial" w:cs="Arial" w:eastAsia="Arial" w:hAnsi="Arial"/>
          <w:sz w:val="18"/>
          <w:szCs w:val="18"/>
          <w:color w:val="auto"/>
        </w:rPr>
        <w:t>entirety and replaced with the following:</w:t>
      </w:r>
    </w:p>
    <w:p>
      <w:pPr>
        <w:spacing w:after="0" w:line="54" w:lineRule="exact"/>
        <w:rPr>
          <w:sz w:val="20"/>
          <w:szCs w:val="20"/>
          <w:color w:val="auto"/>
        </w:rPr>
      </w:pPr>
    </w:p>
    <w:p>
      <w:pPr>
        <w:jc w:val="both"/>
        <w:ind w:left="452" w:right="20" w:firstLine="438"/>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Base Term:</w:t>
      </w:r>
      <w:r>
        <w:rPr>
          <w:rFonts w:ascii="Arial" w:cs="Arial" w:eastAsia="Arial" w:hAnsi="Arial"/>
          <w:sz w:val="17"/>
          <w:szCs w:val="17"/>
          <w:color w:val="auto"/>
        </w:rPr>
        <w:t xml:space="preserve"> Commencing (i) with respect to the Original Premises on the Commencement Date, and (ii) with respect to the Expansion Premises on the Expansion Premises Commencement Date, and ending with respect to the entire Premises on the date that is 84 months from the first day of the first full calendar month after the Expansion Premises Rent Commencement Date (“</w:t>
      </w:r>
      <w:r>
        <w:rPr>
          <w:rFonts w:ascii="Arial" w:cs="Arial" w:eastAsia="Arial" w:hAnsi="Arial"/>
          <w:sz w:val="17"/>
          <w:szCs w:val="17"/>
          <w:b w:val="1"/>
          <w:bCs w:val="1"/>
          <w:color w:val="auto"/>
        </w:rPr>
        <w:t>Expiration Date</w:t>
      </w:r>
      <w:r>
        <w:rPr>
          <w:rFonts w:ascii="Arial" w:cs="Arial" w:eastAsia="Arial" w:hAnsi="Arial"/>
          <w:sz w:val="17"/>
          <w:szCs w:val="17"/>
          <w:color w:val="auto"/>
        </w:rPr>
        <w:t>”).”</w:t>
      </w:r>
    </w:p>
    <w:p>
      <w:pPr>
        <w:spacing w:after="0" w:line="64" w:lineRule="exact"/>
        <w:rPr>
          <w:sz w:val="20"/>
          <w:szCs w:val="20"/>
          <w:color w:val="auto"/>
        </w:rPr>
      </w:pPr>
    </w:p>
    <w:p>
      <w:pPr>
        <w:ind w:left="452" w:hanging="452"/>
        <w:spacing w:after="0"/>
        <w:tabs>
          <w:tab w:leader="none" w:pos="452"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Base Rent</w:t>
      </w: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   Annual Increases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1112" w:hanging="217"/>
        <w:spacing w:after="0"/>
        <w:tabs>
          <w:tab w:leader="none" w:pos="1112" w:val="left"/>
        </w:tabs>
        <w:numPr>
          <w:ilvl w:val="2"/>
          <w:numId w:val="45"/>
        </w:numPr>
        <w:rPr>
          <w:rFonts w:ascii="Arial" w:cs="Arial" w:eastAsia="Arial" w:hAnsi="Arial"/>
          <w:sz w:val="17"/>
          <w:szCs w:val="17"/>
          <w:color w:val="auto"/>
        </w:rPr>
      </w:pPr>
      <w:r>
        <w:rPr>
          <w:rFonts w:ascii="Arial" w:cs="Arial" w:eastAsia="Arial" w:hAnsi="Arial"/>
          <w:sz w:val="17"/>
          <w:szCs w:val="17"/>
          <w:b w:val="1"/>
          <w:bCs w:val="1"/>
          <w:color w:val="auto"/>
        </w:rPr>
        <w:t>Original Premises</w:t>
      </w:r>
      <w:r>
        <w:rPr>
          <w:rFonts w:ascii="Arial" w:cs="Arial" w:eastAsia="Arial" w:hAnsi="Arial"/>
          <w:sz w:val="17"/>
          <w:szCs w:val="17"/>
          <w:color w:val="auto"/>
        </w:rPr>
        <w:t>. Tenant shall continue paying Base Rent with respect to the Original Premises as provided in the Lease through</w:t>
      </w:r>
    </w:p>
    <w:p>
      <w:pPr>
        <w:spacing w:after="0" w:line="38" w:lineRule="exact"/>
        <w:rPr>
          <w:rFonts w:ascii="Arial" w:cs="Arial" w:eastAsia="Arial" w:hAnsi="Arial"/>
          <w:sz w:val="17"/>
          <w:szCs w:val="17"/>
          <w:color w:val="auto"/>
        </w:rPr>
      </w:pPr>
    </w:p>
    <w:p>
      <w:pPr>
        <w:jc w:val="both"/>
        <w:ind w:left="452" w:right="200"/>
        <w:spacing w:after="0" w:line="295" w:lineRule="auto"/>
        <w:rPr>
          <w:rFonts w:ascii="Arial" w:cs="Arial" w:eastAsia="Arial" w:hAnsi="Arial"/>
          <w:sz w:val="17"/>
          <w:szCs w:val="17"/>
          <w:color w:val="auto"/>
        </w:rPr>
      </w:pPr>
      <w:r>
        <w:rPr>
          <w:rFonts w:ascii="Arial" w:cs="Arial" w:eastAsia="Arial" w:hAnsi="Arial"/>
          <w:sz w:val="16"/>
          <w:szCs w:val="16"/>
          <w:color w:val="auto"/>
        </w:rPr>
        <w:t>September 30, 2018. Commencing on October 1, 2018, and on each October 1</w:t>
      </w:r>
      <w:r>
        <w:rPr>
          <w:rFonts w:ascii="Arial" w:cs="Arial" w:eastAsia="Arial" w:hAnsi="Arial"/>
          <w:sz w:val="13"/>
          <w:szCs w:val="13"/>
          <w:color w:val="auto"/>
        </w:rPr>
        <w:t>st</w:t>
      </w:r>
      <w:r>
        <w:rPr>
          <w:rFonts w:ascii="Arial" w:cs="Arial" w:eastAsia="Arial" w:hAnsi="Arial"/>
          <w:sz w:val="16"/>
          <w:szCs w:val="16"/>
          <w:color w:val="auto"/>
        </w:rPr>
        <w:t xml:space="preserve"> thereafter through the Expiration Date (each, an “</w:t>
      </w:r>
      <w:r>
        <w:rPr>
          <w:rFonts w:ascii="Arial" w:cs="Arial" w:eastAsia="Arial" w:hAnsi="Arial"/>
          <w:sz w:val="16"/>
          <w:szCs w:val="16"/>
          <w:b w:val="1"/>
          <w:bCs w:val="1"/>
          <w:color w:val="auto"/>
        </w:rPr>
        <w:t>Original Premises</w:t>
      </w:r>
      <w:r>
        <w:rPr>
          <w:rFonts w:ascii="Arial" w:cs="Arial" w:eastAsia="Arial" w:hAnsi="Arial"/>
          <w:sz w:val="16"/>
          <w:szCs w:val="16"/>
          <w:color w:val="auto"/>
        </w:rPr>
        <w:t xml:space="preserve"> </w:t>
      </w:r>
      <w:r>
        <w:rPr>
          <w:rFonts w:ascii="Arial" w:cs="Arial" w:eastAsia="Arial" w:hAnsi="Arial"/>
          <w:sz w:val="16"/>
          <w:szCs w:val="16"/>
          <w:b w:val="1"/>
          <w:bCs w:val="1"/>
          <w:color w:val="auto"/>
        </w:rPr>
        <w:t>Adjustment Date</w:t>
      </w:r>
      <w:r>
        <w:rPr>
          <w:rFonts w:ascii="Arial" w:cs="Arial" w:eastAsia="Arial" w:hAnsi="Arial"/>
          <w:sz w:val="16"/>
          <w:szCs w:val="16"/>
          <w:color w:val="auto"/>
        </w:rPr>
        <w:t>”), the Base Rent payable by Tenant with respect to the Original Premises shall be increased by multiplying the Base Rent payable</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the Original Premises immediately before such Original Premises Adjustment Date by 2.75% and adding the resulting amount to the Base Rent payable with respect to the Original Premises immediately before such Original Premises Adjustment Date.</w:t>
      </w:r>
    </w:p>
    <w:p>
      <w:pPr>
        <w:spacing w:after="0" w:line="49" w:lineRule="exact"/>
        <w:rPr>
          <w:rFonts w:ascii="Arial" w:cs="Arial" w:eastAsia="Arial" w:hAnsi="Arial"/>
          <w:sz w:val="17"/>
          <w:szCs w:val="17"/>
          <w:color w:val="auto"/>
        </w:rPr>
      </w:pPr>
    </w:p>
    <w:p>
      <w:pPr>
        <w:ind w:left="452" w:firstLine="443"/>
        <w:spacing w:after="0" w:line="256" w:lineRule="auto"/>
        <w:tabs>
          <w:tab w:leader="none" w:pos="1155" w:val="left"/>
        </w:tabs>
        <w:numPr>
          <w:ilvl w:val="2"/>
          <w:numId w:val="45"/>
        </w:numPr>
        <w:rPr>
          <w:rFonts w:ascii="Arial" w:cs="Arial" w:eastAsia="Arial" w:hAnsi="Arial"/>
          <w:sz w:val="18"/>
          <w:szCs w:val="18"/>
          <w:color w:val="auto"/>
        </w:rPr>
      </w:pPr>
      <w:r>
        <w:rPr>
          <w:rFonts w:ascii="Arial" w:cs="Arial" w:eastAsia="Arial" w:hAnsi="Arial"/>
          <w:sz w:val="18"/>
          <w:szCs w:val="18"/>
          <w:b w:val="1"/>
          <w:bCs w:val="1"/>
          <w:color w:val="auto"/>
        </w:rPr>
        <w:t>Expansion Premises</w:t>
      </w:r>
      <w:r>
        <w:rPr>
          <w:rFonts w:ascii="Arial" w:cs="Arial" w:eastAsia="Arial" w:hAnsi="Arial"/>
          <w:sz w:val="18"/>
          <w:szCs w:val="18"/>
          <w:color w:val="auto"/>
        </w:rPr>
        <w:t>. Commencing on the Expansion Premises Rent Commencement Date, Tenant shall commence paying Base Rent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Expansion Premises in the amount of $41.00 per rentable square foot of the Expansion Premises per year. On each annual anniversary of the Expansion Premises Rent Commencement Date (each, an “</w:t>
      </w:r>
      <w:r>
        <w:rPr>
          <w:rFonts w:ascii="Arial" w:cs="Arial" w:eastAsia="Arial" w:hAnsi="Arial"/>
          <w:sz w:val="18"/>
          <w:szCs w:val="18"/>
          <w:b w:val="1"/>
          <w:bCs w:val="1"/>
          <w:color w:val="auto"/>
        </w:rPr>
        <w:t>Expansion Premises Adjustment Date</w:t>
      </w:r>
      <w:r>
        <w:rPr>
          <w:rFonts w:ascii="Arial" w:cs="Arial" w:eastAsia="Arial" w:hAnsi="Arial"/>
          <w:sz w:val="18"/>
          <w:szCs w:val="18"/>
          <w:color w:val="auto"/>
        </w:rPr>
        <w:t>”), the Base Rent payable with respect to the Expansion Premises shall be increased by multiplying the Base Rent payable with respect to the Expansion Premises immediately before such Expansion Premises Adjustment Date by 2.5% and adding the resulting amount to the Base Rent payable with respect to the Expansion Premises immediately before such Expansion Premises Adjustment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4605020</wp:posOffset>
            </wp:positionH>
            <wp:positionV relativeFrom="paragraph">
              <wp:posOffset>88265</wp:posOffset>
            </wp:positionV>
            <wp:extent cx="2641600" cy="3517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64160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92"/>
          </w:cols>
          <w:pgMar w:left="248" w:top="274" w:right="259" w:bottom="1440" w:gutter="0" w:footer="0" w:header="0"/>
        </w:sectPr>
      </w:pPr>
    </w:p>
    <w:bookmarkStart w:id="61" w:name="page62"/>
    <w:bookmarkEnd w:id="61"/>
    <w:p>
      <w:pPr>
        <w:ind w:left="452" w:right="180"/>
        <w:spacing w:after="0" w:line="272"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 Additional TI Allowance</w:t>
      </w:r>
      <w:r>
        <w:rPr>
          <w:rFonts w:ascii="Arial" w:cs="Arial" w:eastAsia="Arial" w:hAnsi="Arial"/>
          <w:sz w:val="17"/>
          <w:szCs w:val="17"/>
          <w:color w:val="auto"/>
        </w:rPr>
        <w:t>. In addition to the Base Building Improvements Allowance (as defined in the Work Letter) and the TI Allowance (as</w:t>
      </w:r>
      <w:r>
        <w:rPr>
          <w:rFonts w:ascii="Arial" w:cs="Arial" w:eastAsia="Arial" w:hAnsi="Arial"/>
          <w:sz w:val="17"/>
          <w:szCs w:val="17"/>
          <w:b w:val="1"/>
          <w:bCs w:val="1"/>
          <w:color w:val="auto"/>
        </w:rPr>
        <w:t xml:space="preserve"> </w:t>
      </w:r>
      <w:r>
        <w:rPr>
          <w:rFonts w:ascii="Arial" w:cs="Arial" w:eastAsia="Arial" w:hAnsi="Arial"/>
          <w:sz w:val="17"/>
          <w:szCs w:val="17"/>
          <w:color w:val="auto"/>
        </w:rPr>
        <w:t>defined in the Work Letter), Landlord shall, subject to the terms of the Work Letter, make available to Tenant the Additional Allowance (as defined in the Work Letter). Commencing on the first day of the first full month following the Substantial Completion of Landlord’s Work and continuing thereafter on the first day of each month during the Base Term, Tenant shall pay the amount necessary to fully amortize the portion of the Additional Allowance actually funded by Landlord, if any, in equal monthly payments with interest at a rate of 8% per annum over the remaining Base Term, which interest shall begin to accrue on the first day of the first full month following the Substantial Completion of Landlord’s Work. Any of the Additional Allowance and applicable interest remaining unpaid as of the expiration or earlier termination of the Lease shall be paid to Landlord in a lump sum at the expiration or earlier termination of this Lease.</w:t>
      </w:r>
    </w:p>
    <w:p>
      <w:pPr>
        <w:spacing w:after="0" w:line="78" w:lineRule="exact"/>
        <w:rPr>
          <w:sz w:val="20"/>
          <w:szCs w:val="20"/>
          <w:color w:val="auto"/>
        </w:rPr>
      </w:pPr>
    </w:p>
    <w:p>
      <w:pPr>
        <w:ind w:left="452" w:right="320" w:hanging="452"/>
        <w:spacing w:after="0" w:line="282" w:lineRule="auto"/>
        <w:tabs>
          <w:tab w:leader="none" w:pos="452"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 of Tenant’s Share of Operating Expenses</w:t>
      </w:r>
      <w:r>
        <w:rPr>
          <w:rFonts w:ascii="Arial" w:cs="Arial" w:eastAsia="Arial" w:hAnsi="Arial"/>
          <w:sz w:val="18"/>
          <w:szCs w:val="18"/>
          <w:color w:val="auto"/>
        </w:rPr>
        <w:t>. Commencing on the Expansion Premises Commencement Date, the defined term “</w:t>
      </w:r>
      <w:r>
        <w:rPr>
          <w:rFonts w:ascii="Arial" w:cs="Arial" w:eastAsia="Arial" w:hAnsi="Arial"/>
          <w:sz w:val="18"/>
          <w:szCs w:val="18"/>
          <w:b w:val="1"/>
          <w:bCs w:val="1"/>
          <w:color w:val="auto"/>
        </w:rPr>
        <w:t>Tenant’s Share of Operating Expenses</w:t>
      </w:r>
      <w:r>
        <w:rPr>
          <w:rFonts w:ascii="Arial" w:cs="Arial" w:eastAsia="Arial" w:hAnsi="Arial"/>
          <w:sz w:val="18"/>
          <w:szCs w:val="18"/>
          <w:color w:val="auto"/>
        </w:rPr>
        <w:t>” on page 1 of the Lease is deleted in its entirety and replaced with the following:</w:t>
      </w:r>
    </w:p>
    <w:p>
      <w:pPr>
        <w:spacing w:after="0" w:line="54" w:lineRule="exact"/>
        <w:rPr>
          <w:sz w:val="20"/>
          <w:szCs w:val="20"/>
          <w:color w:val="auto"/>
        </w:rPr>
      </w:pPr>
    </w:p>
    <w:p>
      <w:pPr>
        <w:ind w:left="89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Tenant’s Share of Operating Expenses:</w:t>
      </w:r>
      <w:r>
        <w:rPr>
          <w:rFonts w:ascii="Arial" w:cs="Arial" w:eastAsia="Arial" w:hAnsi="Arial"/>
          <w:sz w:val="18"/>
          <w:szCs w:val="18"/>
          <w:color w:val="auto"/>
        </w:rPr>
        <w:t xml:space="preserve"> 51.88%”</w:t>
      </w:r>
    </w:p>
    <w:p>
      <w:pPr>
        <w:spacing w:after="0" w:line="121" w:lineRule="exact"/>
        <w:rPr>
          <w:sz w:val="20"/>
          <w:szCs w:val="20"/>
          <w:color w:val="auto"/>
        </w:rPr>
      </w:pPr>
    </w:p>
    <w:p>
      <w:pPr>
        <w:ind w:left="452" w:right="300"/>
        <w:spacing w:after="0" w:line="276" w:lineRule="auto"/>
        <w:rPr>
          <w:sz w:val="20"/>
          <w:szCs w:val="20"/>
          <w:color w:val="auto"/>
        </w:rPr>
      </w:pPr>
      <w:r>
        <w:rPr>
          <w:rFonts w:ascii="Arial" w:cs="Arial" w:eastAsia="Arial" w:hAnsi="Arial"/>
          <w:sz w:val="17"/>
          <w:szCs w:val="17"/>
          <w:color w:val="auto"/>
        </w:rPr>
        <w:t>Notwithstanding anything to the contrary contained herein, Tenant shall not be required to pay Operating Expenses or Utilities with respect to the Expansion Premises during the period commencing on the Expansion Premises Commencement Date through the day immediately preceding the Expansion Premises Rent Commencement Date (and during such period Tenant Share of Operating Expenses shall continue to be equal to 26.28%). Tenant shall commence paying Operating Expenses and Utilities with respect to the Expansion Premises (in addition to Operating Expenses and Utilities for the Original Premises) on the Expansion Premises Rent Commencement Date.</w:t>
      </w:r>
    </w:p>
    <w:p>
      <w:pPr>
        <w:spacing w:after="0" w:line="74" w:lineRule="exact"/>
        <w:rPr>
          <w:sz w:val="20"/>
          <w:szCs w:val="20"/>
          <w:color w:val="auto"/>
        </w:rPr>
      </w:pPr>
    </w:p>
    <w:p>
      <w:pPr>
        <w:ind w:left="452" w:hanging="452"/>
        <w:spacing w:after="0" w:line="282" w:lineRule="auto"/>
        <w:tabs>
          <w:tab w:leader="none" w:pos="452"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Security Deposit</w:t>
      </w:r>
      <w:r>
        <w:rPr>
          <w:rFonts w:ascii="Arial" w:cs="Arial" w:eastAsia="Arial" w:hAnsi="Arial"/>
          <w:sz w:val="18"/>
          <w:szCs w:val="18"/>
          <w:color w:val="auto"/>
        </w:rPr>
        <w:t>. As of the date of this First Amendment, the definition of “</w:t>
      </w:r>
      <w:r>
        <w:rPr>
          <w:rFonts w:ascii="Arial" w:cs="Arial" w:eastAsia="Arial" w:hAnsi="Arial"/>
          <w:sz w:val="18"/>
          <w:szCs w:val="18"/>
          <w:b w:val="1"/>
          <w:bCs w:val="1"/>
          <w:color w:val="auto"/>
        </w:rPr>
        <w:t>Security Deposit</w:t>
      </w:r>
      <w:r>
        <w:rPr>
          <w:rFonts w:ascii="Arial" w:cs="Arial" w:eastAsia="Arial" w:hAnsi="Arial"/>
          <w:sz w:val="18"/>
          <w:szCs w:val="18"/>
          <w:color w:val="auto"/>
        </w:rPr>
        <w:t>” on the second page of the Lease is deleted in its entirety</w:t>
      </w:r>
      <w:r>
        <w:rPr>
          <w:rFonts w:ascii="Arial" w:cs="Arial" w:eastAsia="Arial" w:hAnsi="Arial"/>
          <w:sz w:val="18"/>
          <w:szCs w:val="18"/>
          <w:b w:val="1"/>
          <w:bCs w:val="1"/>
          <w:color w:val="auto"/>
        </w:rPr>
        <w:t xml:space="preserve"> </w:t>
      </w:r>
      <w:r>
        <w:rPr>
          <w:rFonts w:ascii="Arial" w:cs="Arial" w:eastAsia="Arial" w:hAnsi="Arial"/>
          <w:sz w:val="18"/>
          <w:szCs w:val="18"/>
          <w:color w:val="auto"/>
        </w:rPr>
        <w:t>and replaced with the following:</w:t>
      </w:r>
    </w:p>
    <w:p>
      <w:pPr>
        <w:spacing w:after="0" w:line="54" w:lineRule="exact"/>
        <w:rPr>
          <w:sz w:val="20"/>
          <w:szCs w:val="20"/>
          <w:color w:val="auto"/>
        </w:rPr>
      </w:pPr>
    </w:p>
    <w:p>
      <w:pPr>
        <w:ind w:left="892"/>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Security Deposit:</w:t>
      </w:r>
      <w:r>
        <w:rPr>
          <w:rFonts w:ascii="Arial" w:cs="Arial" w:eastAsia="Arial" w:hAnsi="Arial"/>
          <w:sz w:val="18"/>
          <w:szCs w:val="18"/>
          <w:color w:val="auto"/>
        </w:rPr>
        <w:t xml:space="preserve"> $608,193”</w:t>
      </w:r>
    </w:p>
    <w:p>
      <w:pPr>
        <w:spacing w:after="0" w:line="121" w:lineRule="exact"/>
        <w:rPr>
          <w:sz w:val="20"/>
          <w:szCs w:val="20"/>
          <w:color w:val="auto"/>
        </w:rPr>
      </w:pPr>
    </w:p>
    <w:p>
      <w:pPr>
        <w:ind w:left="452" w:right="420"/>
        <w:spacing w:after="0" w:line="264" w:lineRule="auto"/>
        <w:rPr>
          <w:sz w:val="20"/>
          <w:szCs w:val="20"/>
          <w:color w:val="auto"/>
        </w:rPr>
      </w:pPr>
      <w:r>
        <w:rPr>
          <w:rFonts w:ascii="Arial" w:cs="Arial" w:eastAsia="Arial" w:hAnsi="Arial"/>
          <w:sz w:val="18"/>
          <w:szCs w:val="18"/>
          <w:color w:val="auto"/>
        </w:rPr>
        <w:t>Landlord currently holds a Security Deposit of $436,224.00 under the Lease. Concurrent with Tenant’s delivery of a signed original of this First Amendment to Landlord, Tenant shall deliver to Landlord an amended Letter of Credit which increases the amount of the existing Letter of Credit being held by Landlord to $608,193 or an additional Letter of Credit in the amount of $171,969.</w:t>
      </w:r>
    </w:p>
    <w:p>
      <w:pPr>
        <w:spacing w:after="0" w:line="83" w:lineRule="exact"/>
        <w:rPr>
          <w:sz w:val="20"/>
          <w:szCs w:val="20"/>
          <w:color w:val="auto"/>
        </w:rPr>
      </w:pPr>
    </w:p>
    <w:p>
      <w:pPr>
        <w:ind w:left="452" w:hanging="452"/>
        <w:spacing w:after="0"/>
        <w:tabs>
          <w:tab w:leader="none" w:pos="452"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Intentionally Omitted</w:t>
      </w:r>
      <w:r>
        <w:rPr>
          <w:rFonts w:ascii="Arial" w:cs="Arial" w:eastAsia="Arial" w:hAnsi="Arial"/>
          <w:sz w:val="18"/>
          <w:szCs w:val="18"/>
          <w:color w:val="auto"/>
        </w:rPr>
        <w:t>.</w:t>
      </w:r>
    </w:p>
    <w:p>
      <w:pPr>
        <w:spacing w:after="0" w:line="130" w:lineRule="exact"/>
        <w:rPr>
          <w:rFonts w:ascii="Arial" w:cs="Arial" w:eastAsia="Arial" w:hAnsi="Arial"/>
          <w:sz w:val="18"/>
          <w:szCs w:val="18"/>
          <w:b w:val="1"/>
          <w:bCs w:val="1"/>
          <w:color w:val="auto"/>
        </w:rPr>
      </w:pPr>
    </w:p>
    <w:p>
      <w:pPr>
        <w:ind w:left="452" w:right="120" w:hanging="452"/>
        <w:spacing w:after="0" w:line="282" w:lineRule="auto"/>
        <w:tabs>
          <w:tab w:leader="none" w:pos="452"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Right</w:t>
      </w:r>
      <w:r>
        <w:rPr>
          <w:rFonts w:ascii="Arial" w:cs="Arial" w:eastAsia="Arial" w:hAnsi="Arial"/>
          <w:sz w:val="18"/>
          <w:szCs w:val="18"/>
          <w:color w:val="auto"/>
        </w:rPr>
        <w:t>. Tenant’s Early Termination Right contained in the third paragraph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Lease is hereby deleted in its entirety and is</w:t>
      </w:r>
      <w:r>
        <w:rPr>
          <w:rFonts w:ascii="Arial" w:cs="Arial" w:eastAsia="Arial" w:hAnsi="Arial"/>
          <w:sz w:val="18"/>
          <w:szCs w:val="18"/>
          <w:b w:val="1"/>
          <w:bCs w:val="1"/>
          <w:color w:val="auto"/>
        </w:rPr>
        <w:t xml:space="preserve"> </w:t>
      </w:r>
      <w:r>
        <w:rPr>
          <w:rFonts w:ascii="Arial" w:cs="Arial" w:eastAsia="Arial" w:hAnsi="Arial"/>
          <w:sz w:val="18"/>
          <w:szCs w:val="18"/>
          <w:color w:val="auto"/>
        </w:rPr>
        <w:t>null and void and of no further force or effect.</w:t>
      </w:r>
    </w:p>
    <w:p>
      <w:pPr>
        <w:spacing w:after="0" w:line="67" w:lineRule="exact"/>
        <w:rPr>
          <w:rFonts w:ascii="Arial" w:cs="Arial" w:eastAsia="Arial" w:hAnsi="Arial"/>
          <w:sz w:val="18"/>
          <w:szCs w:val="18"/>
          <w:b w:val="1"/>
          <w:bCs w:val="1"/>
          <w:color w:val="auto"/>
        </w:rPr>
      </w:pPr>
    </w:p>
    <w:p>
      <w:pPr>
        <w:ind w:left="452" w:right="160" w:hanging="452"/>
        <w:spacing w:after="0" w:line="292" w:lineRule="auto"/>
        <w:tabs>
          <w:tab w:leader="none" w:pos="452" w:val="left"/>
        </w:tabs>
        <w:numPr>
          <w:ilvl w:val="0"/>
          <w:numId w:val="4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Parking</w:t>
      </w:r>
      <w:r>
        <w:rPr>
          <w:rFonts w:ascii="Arial" w:cs="Arial" w:eastAsia="Arial" w:hAnsi="Arial"/>
          <w:sz w:val="16"/>
          <w:szCs w:val="16"/>
          <w:color w:val="auto"/>
        </w:rPr>
        <w:t>. With respect to the Expansion Premises, subject to the terms of</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10(a)</w:t>
      </w:r>
      <w:r>
        <w:rPr>
          <w:rFonts w:ascii="Arial" w:cs="Arial" w:eastAsia="Arial" w:hAnsi="Arial"/>
          <w:sz w:val="16"/>
          <w:szCs w:val="16"/>
          <w:b w:val="1"/>
          <w:bCs w:val="1"/>
          <w:color w:val="auto"/>
        </w:rPr>
        <w:t xml:space="preserve"> </w:t>
      </w:r>
      <w:r>
        <w:rPr>
          <w:rFonts w:ascii="Arial" w:cs="Arial" w:eastAsia="Arial" w:hAnsi="Arial"/>
          <w:sz w:val="16"/>
          <w:szCs w:val="16"/>
          <w:color w:val="auto"/>
        </w:rPr>
        <w:t>of the original Lease and in addition to the parking spaces to</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which Tenant is entitled pursuant to </w:t>
      </w:r>
      <w:r>
        <w:rPr>
          <w:rFonts w:ascii="Arial" w:cs="Arial" w:eastAsia="Arial" w:hAnsi="Arial"/>
          <w:sz w:val="16"/>
          <w:szCs w:val="16"/>
          <w:u w:val="single" w:color="auto"/>
          <w:color w:val="auto"/>
        </w:rPr>
        <w:t>Section 10(a)</w:t>
      </w:r>
      <w:r>
        <w:rPr>
          <w:rFonts w:ascii="Arial" w:cs="Arial" w:eastAsia="Arial" w:hAnsi="Arial"/>
          <w:sz w:val="16"/>
          <w:szCs w:val="16"/>
          <w:color w:val="auto"/>
        </w:rPr>
        <w:t xml:space="preserve"> of the original Lease, Tenant shall have the right, in common with other tenants of the Project on a pro rata basis in accordance with the rentable area of the Expansion Premises and the rentable areas of the Project occupied by such other tenants, to park in those areas of the Project designated for non-reserved parking, subject in each case to Landlord’s rules and regulations. Tenant’s pro rata share of such parking spaces in connection with the Expansion Premises shall be no less than 52 parking spaces. Tenant shall not be charged a separate monthly or annual rent or usage charge for the use of such parking spaces during the Base Term or, except to the extent that applicable Legal Requirements then require Landlord to charge a tenant for parking, during any Extension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4605020</wp:posOffset>
            </wp:positionH>
            <wp:positionV relativeFrom="paragraph">
              <wp:posOffset>71755</wp:posOffset>
            </wp:positionV>
            <wp:extent cx="2641600" cy="3517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64160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12"/>
          </w:cols>
          <w:pgMar w:left="248" w:top="270" w:right="239" w:bottom="1440" w:gutter="0" w:footer="0" w:header="0"/>
        </w:sectPr>
      </w:pPr>
    </w:p>
    <w:bookmarkStart w:id="62" w:name="page63"/>
    <w:bookmarkEnd w:id="62"/>
    <w:p>
      <w:pPr>
        <w:ind w:left="452" w:hanging="452"/>
        <w:spacing w:after="0"/>
        <w:tabs>
          <w:tab w:leader="none" w:pos="452"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Right to Expand</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452" w:firstLine="4"/>
        <w:spacing w:after="0" w:line="284" w:lineRule="auto"/>
        <w:tabs>
          <w:tab w:leader="none" w:pos="632" w:val="left"/>
        </w:tabs>
        <w:numPr>
          <w:ilvl w:val="1"/>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Expansion in the Building</w:t>
      </w:r>
      <w:r>
        <w:rPr>
          <w:rFonts w:ascii="Arial" w:cs="Arial" w:eastAsia="Arial" w:hAnsi="Arial"/>
          <w:sz w:val="16"/>
          <w:szCs w:val="16"/>
          <w:color w:val="auto"/>
        </w:rPr>
        <w:t>. Tenant shall have the one-time right, during the Base Term and the Extension Term (“</w:t>
      </w:r>
      <w:r>
        <w:rPr>
          <w:rFonts w:ascii="Arial" w:cs="Arial" w:eastAsia="Arial" w:hAnsi="Arial"/>
          <w:sz w:val="16"/>
          <w:szCs w:val="16"/>
          <w:b w:val="1"/>
          <w:bCs w:val="1"/>
          <w:color w:val="auto"/>
        </w:rPr>
        <w:t>Expansion Expiration Date</w:t>
      </w:r>
      <w:r>
        <w:rPr>
          <w:rFonts w:ascii="Arial" w:cs="Arial" w:eastAsia="Arial" w:hAnsi="Arial"/>
          <w:sz w:val="16"/>
          <w:szCs w:val="16"/>
          <w:color w:val="auto"/>
        </w:rPr>
        <w:t>”), to</w:t>
      </w:r>
      <w:r>
        <w:rPr>
          <w:rFonts w:ascii="Arial" w:cs="Arial" w:eastAsia="Arial" w:hAnsi="Arial"/>
          <w:sz w:val="16"/>
          <w:szCs w:val="16"/>
          <w:b w:val="1"/>
          <w:bCs w:val="1"/>
          <w:color w:val="auto"/>
        </w:rPr>
        <w:t xml:space="preserve"> </w:t>
      </w:r>
      <w:r>
        <w:rPr>
          <w:rFonts w:ascii="Arial" w:cs="Arial" w:eastAsia="Arial" w:hAnsi="Arial"/>
          <w:sz w:val="16"/>
          <w:szCs w:val="16"/>
          <w:color w:val="auto"/>
        </w:rPr>
        <w:t>elect to expand the Premises (the “</w:t>
      </w:r>
      <w:r>
        <w:rPr>
          <w:rFonts w:ascii="Arial" w:cs="Arial" w:eastAsia="Arial" w:hAnsi="Arial"/>
          <w:sz w:val="16"/>
          <w:szCs w:val="16"/>
          <w:b w:val="1"/>
          <w:bCs w:val="1"/>
          <w:color w:val="auto"/>
        </w:rPr>
        <w:t>Expansion Right</w:t>
      </w:r>
      <w:r>
        <w:rPr>
          <w:rFonts w:ascii="Arial" w:cs="Arial" w:eastAsia="Arial" w:hAnsi="Arial"/>
          <w:sz w:val="16"/>
          <w:szCs w:val="16"/>
          <w:color w:val="auto"/>
        </w:rPr>
        <w:t xml:space="preserve">”) to include any Available Space in the Building, upon the terms and conditions in this Section. For purposes of this </w:t>
      </w:r>
      <w:r>
        <w:rPr>
          <w:rFonts w:ascii="Arial" w:cs="Arial" w:eastAsia="Arial" w:hAnsi="Arial"/>
          <w:sz w:val="16"/>
          <w:szCs w:val="16"/>
          <w:u w:val="single" w:color="auto"/>
          <w:color w:val="auto"/>
        </w:rPr>
        <w:t>Section 11(a)</w:t>
      </w:r>
      <w:r>
        <w:rPr>
          <w:rFonts w:ascii="Arial" w:cs="Arial" w:eastAsia="Arial" w:hAnsi="Arial"/>
          <w:sz w:val="16"/>
          <w:szCs w:val="16"/>
          <w:color w:val="auto"/>
        </w:rPr>
        <w:t>, “</w:t>
      </w:r>
      <w:r>
        <w:rPr>
          <w:rFonts w:ascii="Arial" w:cs="Arial" w:eastAsia="Arial" w:hAnsi="Arial"/>
          <w:sz w:val="16"/>
          <w:szCs w:val="16"/>
          <w:b w:val="1"/>
          <w:bCs w:val="1"/>
          <w:color w:val="auto"/>
        </w:rPr>
        <w:t>Available Space</w:t>
      </w:r>
      <w:r>
        <w:rPr>
          <w:rFonts w:ascii="Arial" w:cs="Arial" w:eastAsia="Arial" w:hAnsi="Arial"/>
          <w:sz w:val="16"/>
          <w:szCs w:val="16"/>
          <w:color w:val="auto"/>
        </w:rPr>
        <w:t>” shall mean all or a portion of that certain space which is, as of the date of this First Amendment, leased to Forma Therapeutics, Inc. (“</w:t>
      </w:r>
      <w:r>
        <w:rPr>
          <w:rFonts w:ascii="Arial" w:cs="Arial" w:eastAsia="Arial" w:hAnsi="Arial"/>
          <w:sz w:val="16"/>
          <w:szCs w:val="16"/>
          <w:b w:val="1"/>
          <w:bCs w:val="1"/>
          <w:color w:val="auto"/>
        </w:rPr>
        <w:t>Forma</w:t>
      </w:r>
      <w:r>
        <w:rPr>
          <w:rFonts w:ascii="Arial" w:cs="Arial" w:eastAsia="Arial" w:hAnsi="Arial"/>
          <w:sz w:val="16"/>
          <w:szCs w:val="16"/>
          <w:color w:val="auto"/>
        </w:rPr>
        <w:t>”) in the event that Forma (or an affiliate or assignee of Forma) does not wish to renew (whether or not Forma (or its affiliate or assignee, if applicable) has a right to renew) its occupancy of such space. If there is any Available Space, Landlord shall, within a reasonable period after Landlord determines that such Available Space will become available for lease to a third party (other than Forma), but in any event prior to the offering of the Available Space for lease to any third party (other than Forma), deliver to Tenant written notice (the “</w:t>
      </w:r>
      <w:r>
        <w:rPr>
          <w:rFonts w:ascii="Arial" w:cs="Arial" w:eastAsia="Arial" w:hAnsi="Arial"/>
          <w:sz w:val="16"/>
          <w:szCs w:val="16"/>
          <w:b w:val="1"/>
          <w:bCs w:val="1"/>
          <w:color w:val="auto"/>
        </w:rPr>
        <w:t>Expansion Notice</w:t>
      </w:r>
      <w:r>
        <w:rPr>
          <w:rFonts w:ascii="Arial" w:cs="Arial" w:eastAsia="Arial" w:hAnsi="Arial"/>
          <w:sz w:val="16"/>
          <w:szCs w:val="16"/>
          <w:color w:val="auto"/>
        </w:rPr>
        <w:t xml:space="preserve">”) of such Available Space, together with the fair market terms and conditions (including base rent) on which Landlord is prepared to lease Tenant such Available Space. Tenant shall be entitled to exercise its right under this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only with respect to the entire Available Space described in the Expansion Notice. Tenant shall have ten (10) business days following delivery of the Expansion Notice to deliver to Landlord written notification of Tenant’s exercise of the Expansion Right (“</w:t>
      </w:r>
      <w:r>
        <w:rPr>
          <w:rFonts w:ascii="Arial" w:cs="Arial" w:eastAsia="Arial" w:hAnsi="Arial"/>
          <w:sz w:val="16"/>
          <w:szCs w:val="16"/>
          <w:b w:val="1"/>
          <w:bCs w:val="1"/>
          <w:color w:val="auto"/>
        </w:rPr>
        <w:t>Exercise Notice</w:t>
      </w:r>
      <w:r>
        <w:rPr>
          <w:rFonts w:ascii="Arial" w:cs="Arial" w:eastAsia="Arial" w:hAnsi="Arial"/>
          <w:sz w:val="16"/>
          <w:szCs w:val="16"/>
          <w:color w:val="auto"/>
        </w:rPr>
        <w:t xml:space="preserve">”). If the parties are unable to agree on the fair market terms within thirty (30) days after Tenant’s delivery to Landlord of an Exercise Notice, the fair market terms shall be determined by arbitration pursuant to </w:t>
      </w:r>
      <w:r>
        <w:rPr>
          <w:rFonts w:ascii="Arial" w:cs="Arial" w:eastAsia="Arial" w:hAnsi="Arial"/>
          <w:sz w:val="16"/>
          <w:szCs w:val="16"/>
          <w:u w:val="single" w:color="auto"/>
          <w:color w:val="auto"/>
        </w:rPr>
        <w:t>Section 39(b)</w:t>
      </w:r>
      <w:r>
        <w:rPr>
          <w:rFonts w:ascii="Arial" w:cs="Arial" w:eastAsia="Arial" w:hAnsi="Arial"/>
          <w:sz w:val="16"/>
          <w:szCs w:val="16"/>
          <w:color w:val="auto"/>
        </w:rPr>
        <w:t xml:space="preserve"> of the original Lease. If the fair market terms are not determined prior to the commencement date of the Lease with respect to the Available Space, Tenant shall pay Landlord base rent on a per rentable square foot basis for the Available Space in an amount equal to the Base Rent then being paid by Tenant on a per rentable square foot basis for the Expansion Premises until such fair market terms have been determined. Tenant acknowledges and agrees that the term of the Lease with respect to the existing Premises and the term of the Lease with respect to the Available Space shall be co-terminous. Notwithstanding anything to the contrary contained herein, Tenant shall have no right to exercise the Expansion Right and the provisions of this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shall no longer apply after the date that is nine (9) months prior to the expiration of the Base Term if Tenant has not exercised its Extension Right pursuant to </w:t>
      </w:r>
      <w:r>
        <w:rPr>
          <w:rFonts w:ascii="Arial" w:cs="Arial" w:eastAsia="Arial" w:hAnsi="Arial"/>
          <w:sz w:val="16"/>
          <w:szCs w:val="16"/>
          <w:u w:val="single" w:color="auto"/>
          <w:color w:val="auto"/>
        </w:rPr>
        <w:t>Section 39</w:t>
      </w:r>
      <w:r>
        <w:rPr>
          <w:rFonts w:ascii="Arial" w:cs="Arial" w:eastAsia="Arial" w:hAnsi="Arial"/>
          <w:sz w:val="16"/>
          <w:szCs w:val="16"/>
          <w:color w:val="auto"/>
        </w:rPr>
        <w:t xml:space="preserve"> of the original Lease. Tenant’s failure to deliver an Exercise Notice to Landlord shall be deemed to be an election by Tenant not to exercise Tenant’s Expansion Right with respect to the Available Space, in which case Landlord shall have the right to lease the Available Space to any third party on any terms and conditions acceptable to Landlord; provided, however, that if Landlord intends to lease the Available Space to a third party for less than ninety-five percent (95%) of the net effective rent contained in the Expansion Notice, then prior to leasing the Available Space to a third party, Landlord shall again give Tenant an Expansion Notice and Tenant shall again have its Expansion Right with respect to the Available Space, subject to the terms and conditions of this </w:t>
      </w:r>
      <w:r>
        <w:rPr>
          <w:rFonts w:ascii="Arial" w:cs="Arial" w:eastAsia="Arial" w:hAnsi="Arial"/>
          <w:sz w:val="16"/>
          <w:szCs w:val="16"/>
          <w:u w:val="single" w:color="auto"/>
          <w:color w:val="auto"/>
        </w:rPr>
        <w:t>Section 11(a)</w:t>
      </w:r>
      <w:r>
        <w:rPr>
          <w:rFonts w:ascii="Arial" w:cs="Arial" w:eastAsia="Arial" w:hAnsi="Arial"/>
          <w:sz w:val="16"/>
          <w:szCs w:val="16"/>
          <w:color w:val="auto"/>
        </w:rPr>
        <w:t>.</w:t>
      </w:r>
    </w:p>
    <w:p>
      <w:pPr>
        <w:spacing w:after="0" w:line="286" w:lineRule="exact"/>
        <w:rPr>
          <w:rFonts w:ascii="Arial" w:cs="Arial" w:eastAsia="Arial" w:hAnsi="Arial"/>
          <w:sz w:val="16"/>
          <w:szCs w:val="16"/>
          <w:b w:val="1"/>
          <w:bCs w:val="1"/>
          <w:color w:val="auto"/>
        </w:rPr>
      </w:pPr>
    </w:p>
    <w:p>
      <w:pPr>
        <w:ind w:left="452" w:right="120" w:firstLine="4"/>
        <w:spacing w:after="0" w:line="256" w:lineRule="auto"/>
        <w:tabs>
          <w:tab w:leader="none" w:pos="642" w:val="left"/>
        </w:tabs>
        <w:numPr>
          <w:ilvl w:val="1"/>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Amended Lease</w:t>
      </w:r>
      <w:r>
        <w:rPr>
          <w:rFonts w:ascii="Arial" w:cs="Arial" w:eastAsia="Arial" w:hAnsi="Arial"/>
          <w:sz w:val="18"/>
          <w:szCs w:val="18"/>
          <w:color w:val="auto"/>
        </w:rPr>
        <w:t>. If: (i) Tenant fails to timely deliver an Exercise Notice, or (ii) after the expiration of a period of 30 days after Landlord’s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Tenant of a proposed amendment to this Lease, no lease amendment for the Available Space has been executed by Tenant and Landlord on terms acceptable to both parties, each in their sole and absolute discretion, Tenant, subject to the terms of </w:t>
      </w:r>
      <w:r>
        <w:rPr>
          <w:rFonts w:ascii="Arial" w:cs="Arial" w:eastAsia="Arial" w:hAnsi="Arial"/>
          <w:sz w:val="18"/>
          <w:szCs w:val="18"/>
          <w:u w:val="single" w:color="auto"/>
          <w:color w:val="auto"/>
        </w:rPr>
        <w:t>Section 11(a)</w:t>
      </w:r>
      <w:r>
        <w:rPr>
          <w:rFonts w:ascii="Arial" w:cs="Arial" w:eastAsia="Arial" w:hAnsi="Arial"/>
          <w:sz w:val="18"/>
          <w:szCs w:val="18"/>
          <w:color w:val="auto"/>
        </w:rPr>
        <w:t>, shall be deemed to have forever waived its right to lease such Available Space. Landlord and Tenant agree to negotiate diligently and in good faith the terms of such lease amendment for the Available Space and each party shall promptly execute such lease amendment once the form of such lease amendment has been agreed upon by the parties pursuant to this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4605020</wp:posOffset>
            </wp:positionH>
            <wp:positionV relativeFrom="paragraph">
              <wp:posOffset>88265</wp:posOffset>
            </wp:positionV>
            <wp:extent cx="2641600" cy="3517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4160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12"/>
          </w:cols>
          <w:pgMar w:left="248" w:top="270" w:right="239" w:bottom="1440" w:gutter="0" w:footer="0" w:header="0"/>
        </w:sectPr>
      </w:pPr>
    </w:p>
    <w:bookmarkStart w:id="63" w:name="page64"/>
    <w:bookmarkEnd w:id="63"/>
    <w:p>
      <w:pPr>
        <w:ind w:left="452"/>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 Exceptions</w:t>
      </w:r>
      <w:r>
        <w:rPr>
          <w:rFonts w:ascii="Arial" w:cs="Arial" w:eastAsia="Arial" w:hAnsi="Arial"/>
          <w:sz w:val="17"/>
          <w:szCs w:val="17"/>
          <w:color w:val="auto"/>
        </w:rPr>
        <w:t>. Notwithstanding the above, the Expansion Right shall, at Landlord’s option, not be in effect and may not be exercised by Tenant:</w:t>
      </w:r>
    </w:p>
    <w:p>
      <w:pPr>
        <w:spacing w:after="0" w:line="133" w:lineRule="exact"/>
        <w:rPr>
          <w:sz w:val="20"/>
          <w:szCs w:val="20"/>
          <w:color w:val="auto"/>
        </w:rPr>
      </w:pPr>
    </w:p>
    <w:p>
      <w:pPr>
        <w:ind w:left="1552" w:hanging="219"/>
        <w:spacing w:after="0"/>
        <w:tabs>
          <w:tab w:leader="none" w:pos="1552" w:val="left"/>
        </w:tabs>
        <w:numPr>
          <w:ilvl w:val="2"/>
          <w:numId w:val="50"/>
        </w:numPr>
        <w:rPr>
          <w:rFonts w:ascii="Arial" w:cs="Arial" w:eastAsia="Arial" w:hAnsi="Arial"/>
          <w:sz w:val="18"/>
          <w:szCs w:val="18"/>
          <w:color w:val="auto"/>
        </w:rPr>
      </w:pPr>
      <w:r>
        <w:rPr>
          <w:rFonts w:ascii="Arial" w:cs="Arial" w:eastAsia="Arial" w:hAnsi="Arial"/>
          <w:sz w:val="18"/>
          <w:szCs w:val="18"/>
          <w:color w:val="auto"/>
        </w:rPr>
        <w:t>during any period of time that Tenant is in Default under any provision of the Lease; or</w:t>
      </w:r>
    </w:p>
    <w:p>
      <w:pPr>
        <w:spacing w:after="0" w:line="117" w:lineRule="exact"/>
        <w:rPr>
          <w:rFonts w:ascii="Arial" w:cs="Arial" w:eastAsia="Arial" w:hAnsi="Arial"/>
          <w:sz w:val="18"/>
          <w:szCs w:val="18"/>
          <w:color w:val="auto"/>
        </w:rPr>
      </w:pPr>
    </w:p>
    <w:p>
      <w:pPr>
        <w:ind w:left="912" w:right="280" w:firstLine="421"/>
        <w:spacing w:after="0" w:line="277" w:lineRule="auto"/>
        <w:tabs>
          <w:tab w:leader="none" w:pos="1597" w:val="left"/>
        </w:tabs>
        <w:numPr>
          <w:ilvl w:val="2"/>
          <w:numId w:val="50"/>
        </w:numPr>
        <w:rPr>
          <w:rFonts w:ascii="Arial" w:cs="Arial" w:eastAsia="Arial" w:hAnsi="Arial"/>
          <w:sz w:val="18"/>
          <w:szCs w:val="18"/>
          <w:color w:val="auto"/>
        </w:rPr>
      </w:pPr>
      <w:r>
        <w:rPr>
          <w:rFonts w:ascii="Arial" w:cs="Arial" w:eastAsia="Arial" w:hAnsi="Arial"/>
          <w:sz w:val="18"/>
          <w:szCs w:val="18"/>
          <w:color w:val="auto"/>
        </w:rPr>
        <w:t>if Tenant has been in Default under any provision of the Lease 3 or more times, whether or not the Defaults are cured, during the 12 month period prior to the date on which Tenant seeks to exercise the Expansion Right.</w:t>
      </w:r>
    </w:p>
    <w:p>
      <w:pPr>
        <w:spacing w:after="0" w:line="58" w:lineRule="exact"/>
        <w:rPr>
          <w:rFonts w:ascii="Arial" w:cs="Arial" w:eastAsia="Arial" w:hAnsi="Arial"/>
          <w:sz w:val="18"/>
          <w:szCs w:val="18"/>
          <w:color w:val="auto"/>
        </w:rPr>
      </w:pPr>
    </w:p>
    <w:p>
      <w:pPr>
        <w:jc w:val="both"/>
        <w:ind w:left="452" w:right="200" w:firstLine="4"/>
        <w:spacing w:after="0" w:line="303" w:lineRule="auto"/>
        <w:tabs>
          <w:tab w:leader="none" w:pos="642" w:val="left"/>
        </w:tabs>
        <w:numPr>
          <w:ilvl w:val="1"/>
          <w:numId w:val="51"/>
        </w:numPr>
        <w:rPr>
          <w:rFonts w:ascii="Arial" w:cs="Arial" w:eastAsia="Arial" w:hAnsi="Arial"/>
          <w:sz w:val="16"/>
          <w:szCs w:val="16"/>
          <w:b w:val="1"/>
          <w:bCs w:val="1"/>
          <w:color w:val="auto"/>
        </w:rPr>
      </w:pPr>
      <w:r>
        <w:rPr>
          <w:rFonts w:ascii="Arial" w:cs="Arial" w:eastAsia="Arial" w:hAnsi="Arial"/>
          <w:sz w:val="16"/>
          <w:szCs w:val="16"/>
          <w:b w:val="1"/>
          <w:bCs w:val="1"/>
          <w:color w:val="auto"/>
        </w:rPr>
        <w:t>Termination</w:t>
      </w:r>
      <w:r>
        <w:rPr>
          <w:rFonts w:ascii="Arial" w:cs="Arial" w:eastAsia="Arial" w:hAnsi="Arial"/>
          <w:sz w:val="16"/>
          <w:szCs w:val="16"/>
          <w:color w:val="auto"/>
        </w:rPr>
        <w:t>. The Expansion Right shall, at Landlord’s option, terminate and be of no further force or effect even after Tenant’s due and timely</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of the Expansion Right if, after such exercise, but prior to the commencement date of the lease of such Available Space, (i) Tenant fails to timely cure any default by Tenant under the Lease; or (ii) Tenant has Defaulted 3 or more times during the period from the date of the exercise of the Expansion Right to the date of the commencement of the lease of the Available Space, whether or not such Defaults are cured.</w:t>
      </w:r>
    </w:p>
    <w:p>
      <w:pPr>
        <w:spacing w:after="0" w:line="43" w:lineRule="exact"/>
        <w:rPr>
          <w:rFonts w:ascii="Arial" w:cs="Arial" w:eastAsia="Arial" w:hAnsi="Arial"/>
          <w:sz w:val="16"/>
          <w:szCs w:val="16"/>
          <w:b w:val="1"/>
          <w:bCs w:val="1"/>
          <w:color w:val="auto"/>
        </w:rPr>
      </w:pPr>
    </w:p>
    <w:p>
      <w:pPr>
        <w:jc w:val="both"/>
        <w:ind w:left="452" w:right="60" w:firstLine="4"/>
        <w:spacing w:after="0" w:line="266" w:lineRule="auto"/>
        <w:tabs>
          <w:tab w:leader="none" w:pos="622" w:val="left"/>
        </w:tabs>
        <w:numPr>
          <w:ilvl w:val="1"/>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Rights Personal</w:t>
      </w:r>
      <w:r>
        <w:rPr>
          <w:rFonts w:ascii="Arial" w:cs="Arial" w:eastAsia="Arial" w:hAnsi="Arial"/>
          <w:sz w:val="18"/>
          <w:szCs w:val="18"/>
          <w:color w:val="auto"/>
        </w:rPr>
        <w:t>. The Expansion Right is personal to Tenant and is not assignable without Landlord’s consent, which may be granted or withheld in</w:t>
      </w:r>
      <w:r>
        <w:rPr>
          <w:rFonts w:ascii="Arial" w:cs="Arial" w:eastAsia="Arial" w:hAnsi="Arial"/>
          <w:sz w:val="18"/>
          <w:szCs w:val="18"/>
          <w:b w:val="1"/>
          <w:bCs w:val="1"/>
          <w:color w:val="auto"/>
        </w:rPr>
        <w:t xml:space="preserve"> </w:t>
      </w:r>
      <w:r>
        <w:rPr>
          <w:rFonts w:ascii="Arial" w:cs="Arial" w:eastAsia="Arial" w:hAnsi="Arial"/>
          <w:sz w:val="18"/>
          <w:szCs w:val="18"/>
          <w:color w:val="auto"/>
        </w:rPr>
        <w:t>Landlord’s sole discretion separate and apart from any consent by Landlord to an assignment of Tenant’s interest in the Lease, other than in connection with a Permitted Assignment.</w:t>
      </w:r>
    </w:p>
    <w:p>
      <w:pPr>
        <w:spacing w:after="0" w:line="68" w:lineRule="exact"/>
        <w:rPr>
          <w:rFonts w:ascii="Arial" w:cs="Arial" w:eastAsia="Arial" w:hAnsi="Arial"/>
          <w:sz w:val="18"/>
          <w:szCs w:val="18"/>
          <w:b w:val="1"/>
          <w:bCs w:val="1"/>
          <w:color w:val="auto"/>
        </w:rPr>
      </w:pPr>
    </w:p>
    <w:p>
      <w:pPr>
        <w:ind w:left="452" w:right="420" w:firstLine="4"/>
        <w:spacing w:after="0" w:line="282" w:lineRule="auto"/>
        <w:tabs>
          <w:tab w:leader="none" w:pos="602" w:val="left"/>
        </w:tabs>
        <w:numPr>
          <w:ilvl w:val="1"/>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No Extensions</w:t>
      </w:r>
      <w:r>
        <w:rPr>
          <w:rFonts w:ascii="Arial" w:cs="Arial" w:eastAsia="Arial" w:hAnsi="Arial"/>
          <w:sz w:val="18"/>
          <w:szCs w:val="18"/>
          <w:color w:val="auto"/>
        </w:rPr>
        <w:t>. The period of time within which the Expansion Right may be exercised shall not be extended or enlarged by reason of Tenant’s</w:t>
      </w:r>
      <w:r>
        <w:rPr>
          <w:rFonts w:ascii="Arial" w:cs="Arial" w:eastAsia="Arial" w:hAnsi="Arial"/>
          <w:sz w:val="18"/>
          <w:szCs w:val="18"/>
          <w:b w:val="1"/>
          <w:bCs w:val="1"/>
          <w:color w:val="auto"/>
        </w:rPr>
        <w:t xml:space="preserve"> </w:t>
      </w:r>
      <w:r>
        <w:rPr>
          <w:rFonts w:ascii="Arial" w:cs="Arial" w:eastAsia="Arial" w:hAnsi="Arial"/>
          <w:sz w:val="18"/>
          <w:szCs w:val="18"/>
          <w:color w:val="auto"/>
        </w:rPr>
        <w:t>inability to exercise the Expansion Right.</w:t>
      </w:r>
    </w:p>
    <w:p>
      <w:pPr>
        <w:spacing w:after="0" w:line="67" w:lineRule="exact"/>
        <w:rPr>
          <w:rFonts w:ascii="Arial" w:cs="Arial" w:eastAsia="Arial" w:hAnsi="Arial"/>
          <w:sz w:val="18"/>
          <w:szCs w:val="18"/>
          <w:b w:val="1"/>
          <w:bCs w:val="1"/>
          <w:color w:val="auto"/>
        </w:rPr>
      </w:pPr>
    </w:p>
    <w:p>
      <w:pPr>
        <w:jc w:val="both"/>
        <w:ind w:left="452" w:hanging="452"/>
        <w:spacing w:after="0" w:line="266" w:lineRule="auto"/>
        <w:tabs>
          <w:tab w:leader="none" w:pos="452"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Extension Right</w:t>
      </w:r>
      <w:r>
        <w:rPr>
          <w:rFonts w:ascii="Arial" w:cs="Arial" w:eastAsia="Arial" w:hAnsi="Arial"/>
          <w:sz w:val="18"/>
          <w:szCs w:val="18"/>
          <w:color w:val="auto"/>
        </w:rPr>
        <w:t>. For the avoidance of doubt, Tenant’s Extension Right 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39</w:t>
      </w:r>
      <w:r>
        <w:rPr>
          <w:rFonts w:ascii="Arial" w:cs="Arial" w:eastAsia="Arial" w:hAnsi="Arial"/>
          <w:sz w:val="18"/>
          <w:szCs w:val="18"/>
          <w:b w:val="1"/>
          <w:bCs w:val="1"/>
          <w:color w:val="auto"/>
        </w:rPr>
        <w:t xml:space="preserve"> </w:t>
      </w:r>
      <w:r>
        <w:rPr>
          <w:rFonts w:ascii="Arial" w:cs="Arial" w:eastAsia="Arial" w:hAnsi="Arial"/>
          <w:sz w:val="18"/>
          <w:szCs w:val="18"/>
          <w:color w:val="auto"/>
        </w:rPr>
        <w:t>of the Lease (as amended by this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12</w:t>
      </w:r>
      <w:r>
        <w:rPr>
          <w:rFonts w:ascii="Arial" w:cs="Arial" w:eastAsia="Arial" w:hAnsi="Arial"/>
          <w:sz w:val="18"/>
          <w:szCs w:val="18"/>
          <w:b w:val="1"/>
          <w:bCs w:val="1"/>
          <w:color w:val="auto"/>
        </w:rPr>
        <w:t xml:space="preserve"> </w:t>
      </w:r>
      <w:r>
        <w:rPr>
          <w:rFonts w:ascii="Arial" w:cs="Arial" w:eastAsia="Arial" w:hAnsi="Arial"/>
          <w:sz w:val="18"/>
          <w:szCs w:val="18"/>
          <w:color w:val="auto"/>
        </w:rPr>
        <w:t>of this First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Amendment) shall apply to both the Original Premises and the Expansion Premises (and, if applicable, the Available Space) and, if exercised by Tenant pursuant to the terms of </w:t>
      </w:r>
      <w:r>
        <w:rPr>
          <w:rFonts w:ascii="Arial" w:cs="Arial" w:eastAsia="Arial" w:hAnsi="Arial"/>
          <w:sz w:val="18"/>
          <w:szCs w:val="18"/>
          <w:u w:val="single" w:color="auto"/>
          <w:color w:val="auto"/>
        </w:rPr>
        <w:t>Section 39</w:t>
      </w:r>
      <w:r>
        <w:rPr>
          <w:rFonts w:ascii="Arial" w:cs="Arial" w:eastAsia="Arial" w:hAnsi="Arial"/>
          <w:sz w:val="18"/>
          <w:szCs w:val="18"/>
          <w:color w:val="auto"/>
        </w:rPr>
        <w:t>, must be exercised with respect to the entire Premises.</w:t>
      </w:r>
    </w:p>
    <w:p>
      <w:pPr>
        <w:spacing w:after="0" w:line="81" w:lineRule="exact"/>
        <w:rPr>
          <w:rFonts w:ascii="Arial" w:cs="Arial" w:eastAsia="Arial" w:hAnsi="Arial"/>
          <w:sz w:val="18"/>
          <w:szCs w:val="18"/>
          <w:b w:val="1"/>
          <w:bCs w:val="1"/>
          <w:color w:val="auto"/>
        </w:rPr>
      </w:pPr>
    </w:p>
    <w:p>
      <w:pPr>
        <w:ind w:left="452" w:right="580" w:hanging="452"/>
        <w:spacing w:after="0" w:line="282" w:lineRule="auto"/>
        <w:tabs>
          <w:tab w:leader="none" w:pos="452"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Tenant’s Personal Property</w:t>
      </w:r>
      <w:r>
        <w:rPr>
          <w:rFonts w:ascii="Arial" w:cs="Arial" w:eastAsia="Arial" w:hAnsi="Arial"/>
          <w:sz w:val="18"/>
          <w:szCs w:val="18"/>
          <w:color w:val="auto"/>
        </w:rPr>
        <w:t>.</w:t>
      </w:r>
      <w:r>
        <w:rPr>
          <w:rFonts w:ascii="Arial" w:cs="Arial" w:eastAsia="Arial" w:hAnsi="Arial"/>
          <w:sz w:val="18"/>
          <w:szCs w:val="18"/>
          <w:b w:val="1"/>
          <w:bCs w:val="1"/>
          <w:color w:val="auto"/>
        </w:rPr>
        <w:t xml:space="preserve"> Exhibit F </w:t>
      </w:r>
      <w:r>
        <w:rPr>
          <w:rFonts w:ascii="Arial" w:cs="Arial" w:eastAsia="Arial" w:hAnsi="Arial"/>
          <w:sz w:val="18"/>
          <w:szCs w:val="18"/>
          <w:color w:val="auto"/>
        </w:rPr>
        <w:t>attached to the Lease is hereby deleted in its entirety and replaced with</w:t>
      </w:r>
      <w:r>
        <w:rPr>
          <w:rFonts w:ascii="Arial" w:cs="Arial" w:eastAsia="Arial" w:hAnsi="Arial"/>
          <w:sz w:val="18"/>
          <w:szCs w:val="18"/>
          <w:b w:val="1"/>
          <w:bCs w:val="1"/>
          <w:color w:val="auto"/>
        </w:rPr>
        <w:t xml:space="preserve"> Exhibit B </w:t>
      </w:r>
      <w:r>
        <w:rPr>
          <w:rFonts w:ascii="Arial" w:cs="Arial" w:eastAsia="Arial" w:hAnsi="Arial"/>
          <w:sz w:val="18"/>
          <w:szCs w:val="18"/>
          <w:color w:val="auto"/>
        </w:rPr>
        <w:t>attached to this First</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w:t>
      </w:r>
    </w:p>
    <w:p>
      <w:pPr>
        <w:spacing w:after="0" w:line="67" w:lineRule="exact"/>
        <w:rPr>
          <w:rFonts w:ascii="Arial" w:cs="Arial" w:eastAsia="Arial" w:hAnsi="Arial"/>
          <w:sz w:val="18"/>
          <w:szCs w:val="18"/>
          <w:b w:val="1"/>
          <w:bCs w:val="1"/>
          <w:color w:val="auto"/>
        </w:rPr>
      </w:pPr>
    </w:p>
    <w:p>
      <w:pPr>
        <w:ind w:left="452" w:hanging="452"/>
        <w:spacing w:after="0" w:line="274" w:lineRule="auto"/>
        <w:tabs>
          <w:tab w:leader="none" w:pos="452" w:val="left"/>
        </w:tabs>
        <w:numPr>
          <w:ilvl w:val="0"/>
          <w:numId w:val="5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Brokers</w:t>
      </w:r>
      <w:r>
        <w:rPr>
          <w:rFonts w:ascii="Arial" w:cs="Arial" w:eastAsia="Arial" w:hAnsi="Arial"/>
          <w:sz w:val="17"/>
          <w:szCs w:val="17"/>
          <w:color w:val="auto"/>
        </w:rPr>
        <w:t>. Landlord and Tenant each represents and warrants that it has not dealt with any broker, agent or other person (collectively, “</w:t>
      </w:r>
      <w:r>
        <w:rPr>
          <w:rFonts w:ascii="Arial" w:cs="Arial" w:eastAsia="Arial" w:hAnsi="Arial"/>
          <w:sz w:val="17"/>
          <w:szCs w:val="17"/>
          <w:b w:val="1"/>
          <w:bCs w:val="1"/>
          <w:color w:val="auto"/>
        </w:rPr>
        <w:t>Broker</w:t>
      </w:r>
      <w:r>
        <w:rPr>
          <w:rFonts w:ascii="Arial" w:cs="Arial" w:eastAsia="Arial" w:hAnsi="Arial"/>
          <w:sz w:val="17"/>
          <w:szCs w:val="17"/>
          <w:color w:val="auto"/>
        </w:rPr>
        <w:t>”)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the transaction reflected in this First Amendment and that no Broker brought about this transaction, other than Colliers International. Landlord and Tenant each hereby agree to indemnify and hold the other harmless from and against any claims by any Broker other than Colliers International claiming a commission or other form of compensation by virtue of having dealt with Tenant or Landlord, as applicable, with regard to this First Amendment. Landlord shall be responsible for all commissions due to Colliers International arising out of the execution of this First Amendment in accordance with the terms of a separate written agreement between Colliers International and Landlord.</w:t>
      </w:r>
    </w:p>
    <w:p>
      <w:pPr>
        <w:spacing w:after="0" w:line="79" w:lineRule="exact"/>
        <w:rPr>
          <w:rFonts w:ascii="Arial" w:cs="Arial" w:eastAsia="Arial" w:hAnsi="Arial"/>
          <w:sz w:val="17"/>
          <w:szCs w:val="17"/>
          <w:b w:val="1"/>
          <w:bCs w:val="1"/>
          <w:color w:val="auto"/>
        </w:rPr>
      </w:pPr>
    </w:p>
    <w:p>
      <w:pPr>
        <w:ind w:left="452" w:hanging="452"/>
        <w:spacing w:after="0"/>
        <w:tabs>
          <w:tab w:leader="none" w:pos="452"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left="452" w:right="40" w:firstLine="4"/>
        <w:spacing w:after="0" w:line="264" w:lineRule="auto"/>
        <w:tabs>
          <w:tab w:leader="none" w:pos="632" w:val="left"/>
        </w:tabs>
        <w:numPr>
          <w:ilvl w:val="1"/>
          <w:numId w:val="52"/>
        </w:numPr>
        <w:rPr>
          <w:rFonts w:ascii="Arial" w:cs="Arial" w:eastAsia="Arial" w:hAnsi="Arial"/>
          <w:sz w:val="18"/>
          <w:szCs w:val="18"/>
          <w:b w:val="1"/>
          <w:bCs w:val="1"/>
          <w:color w:val="auto"/>
        </w:rPr>
      </w:pPr>
      <w:r>
        <w:rPr>
          <w:rFonts w:ascii="Arial" w:cs="Arial" w:eastAsia="Arial" w:hAnsi="Arial"/>
          <w:sz w:val="18"/>
          <w:szCs w:val="18"/>
          <w:color w:val="auto"/>
        </w:rPr>
        <w:t>This First Amendment is the entire agreement between the parties with respect to the subject matter hereof and supersedes all prior and contemporaneous oral and written agreements and discussions. This First Amendment may be amended only by an agreement in writing, signed by the parties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4605020</wp:posOffset>
            </wp:positionH>
            <wp:positionV relativeFrom="paragraph">
              <wp:posOffset>81280</wp:posOffset>
            </wp:positionV>
            <wp:extent cx="2641600" cy="3517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64160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72"/>
          </w:cols>
          <w:pgMar w:left="248" w:top="270" w:right="27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b. </w:t>
      </w:r>
      <w:r>
        <w:rPr>
          <w:rFonts w:ascii="Arial" w:cs="Arial" w:eastAsia="Arial" w:hAnsi="Arial"/>
          <w:sz w:val="18"/>
          <w:szCs w:val="18"/>
          <w:color w:val="auto"/>
        </w:rPr>
        <w:t>This First Amendment is binding upon and shall inure to the benefit of the parties hereto, and their respective successors and assigns.</w:t>
      </w:r>
    </w:p>
    <w:p>
      <w:pPr>
        <w:spacing w:after="0" w:line="117"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8"/>
          <w:szCs w:val="18"/>
          <w:color w:val="auto"/>
        </w:rPr>
        <w:t>This First Amendment may be executed in any number of counterparts, each of which shall be deemed an original, but all of which when taken</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and the same instrument. The signature page of any counterpart may be detached therefrom without impairing the legal effect of the signature(s) thereon provided such signature page is attached to any other counterpart identical thereto except having additional signature pages executed by other parties to this First Amendment attached thereto.</w:t>
      </w:r>
    </w:p>
    <w:p>
      <w:pPr>
        <w:spacing w:after="0" w:line="72"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d. </w:t>
      </w:r>
      <w:r>
        <w:rPr>
          <w:rFonts w:ascii="Arial" w:cs="Arial" w:eastAsia="Arial" w:hAnsi="Arial"/>
          <w:sz w:val="18"/>
          <w:szCs w:val="18"/>
          <w:color w:val="auto"/>
        </w:rPr>
        <w:t>Except as amended and/or modified by this First Amendment, the Lease is hereby ratified and confirmed and all other terms of the Lease shall</w:t>
      </w:r>
      <w:r>
        <w:rPr>
          <w:rFonts w:ascii="Arial" w:cs="Arial" w:eastAsia="Arial" w:hAnsi="Arial"/>
          <w:sz w:val="18"/>
          <w:szCs w:val="18"/>
          <w:b w:val="1"/>
          <w:bCs w:val="1"/>
          <w:color w:val="auto"/>
        </w:rPr>
        <w:t xml:space="preserve"> </w:t>
      </w:r>
      <w:r>
        <w:rPr>
          <w:rFonts w:ascii="Arial" w:cs="Arial" w:eastAsia="Arial" w:hAnsi="Arial"/>
          <w:sz w:val="18"/>
          <w:szCs w:val="18"/>
          <w:color w:val="auto"/>
        </w:rPr>
        <w:t>remain in full force and effect, unaltered and unchanged by this First Amendment. In the event of any conflict between the provisions of this First Amendment and the provisions of the Lease, the provisions of this First Amendment shall prevail. Whether or not specifically amended by this First Amendment, all of the terms and provisions of the Lease are hereby amended to the extent necessary to give effect to the purpose and intent of this First Amendment.</w:t>
      </w:r>
    </w:p>
    <w:p>
      <w:pPr>
        <w:spacing w:after="0" w:line="184"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[Signatures are on the next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4318000</wp:posOffset>
            </wp:positionH>
            <wp:positionV relativeFrom="paragraph">
              <wp:posOffset>111760</wp:posOffset>
            </wp:positionV>
            <wp:extent cx="2641600" cy="3517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4160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700" w:top="270" w:right="239" w:bottom="1440" w:gutter="0" w:footer="0" w:header="0"/>
        </w:sectPr>
      </w:pPr>
    </w:p>
    <w:bookmarkStart w:id="65" w:name="page66"/>
    <w:bookmarkEnd w:id="65"/>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WITNESS WHEREOF</w:t>
      </w:r>
      <w:r>
        <w:rPr>
          <w:rFonts w:ascii="Arial" w:cs="Arial" w:eastAsia="Arial" w:hAnsi="Arial"/>
          <w:sz w:val="16"/>
          <w:szCs w:val="16"/>
          <w:color w:val="auto"/>
        </w:rPr>
        <w:t>, Landlord and Tenant have executed this Lease as of the day and year first above written.</w:t>
      </w:r>
    </w:p>
    <w:p>
      <w:pPr>
        <w:sectPr>
          <w:pgSz w:w="11900" w:h="16838" w:orient="portrait"/>
          <w:cols w:equalWidth="0" w:num="1">
            <w:col w:w="10219"/>
          </w:cols>
          <w:pgMar w:left="240" w:top="270" w:right="1440" w:bottom="1440" w:gutter="0" w:footer="0" w:header="0"/>
        </w:sect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LANDLORD:</w:t>
      </w:r>
    </w:p>
    <w:p>
      <w:pPr>
        <w:spacing w:after="0" w:line="20" w:lineRule="exact"/>
        <w:rPr>
          <w:sz w:val="20"/>
          <w:szCs w:val="20"/>
          <w:color w:val="auto"/>
        </w:rPr>
      </w:pPr>
      <w:r>
        <w:rPr>
          <w:sz w:val="20"/>
          <w:szCs w:val="20"/>
          <w:color w:val="auto"/>
        </w:rPr>
        <w:br w:type="column"/>
      </w:r>
    </w:p>
    <w:p>
      <w:pPr>
        <w:spacing w:after="0" w:line="2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ARE-500 ARSENAL STREET, LLC,</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00" w:lineRule="exact"/>
        <w:rPr>
          <w:sz w:val="20"/>
          <w:szCs w:val="20"/>
          <w:color w:val="auto"/>
        </w:rPr>
      </w:pPr>
    </w:p>
    <w:p>
      <w:pPr>
        <w:sectPr>
          <w:pgSz w:w="11900" w:h="16838" w:orient="portrait"/>
          <w:cols w:equalWidth="0" w:num="2">
            <w:col w:w="4640" w:space="720"/>
            <w:col w:w="4859"/>
          </w:cols>
          <w:pgMar w:left="240" w:top="270" w:right="1440" w:bottom="1440" w:gutter="0" w:footer="0" w:header="0"/>
          <w:type w:val="continuous"/>
        </w:sectPr>
      </w:pPr>
    </w:p>
    <w:p>
      <w:pPr>
        <w:spacing w:after="0" w:line="11" w:lineRule="exact"/>
        <w:rPr>
          <w:sz w:val="20"/>
          <w:szCs w:val="20"/>
          <w:color w:val="auto"/>
        </w:rPr>
      </w:pPr>
    </w:p>
    <w:p>
      <w:pPr>
        <w:ind w:left="53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ind w:right="599"/>
        <w:spacing w:after="0" w:line="342" w:lineRule="auto"/>
        <w:rPr>
          <w:sz w:val="20"/>
          <w:szCs w:val="20"/>
          <w:color w:val="auto"/>
        </w:rPr>
      </w:pPr>
      <w:r>
        <w:rPr>
          <w:rFonts w:ascii="Arial" w:cs="Arial" w:eastAsia="Arial" w:hAnsi="Arial"/>
          <w:sz w:val="16"/>
          <w:szCs w:val="16"/>
          <w:color w:val="auto"/>
        </w:rPr>
        <w:t>ALEXANDRIA REAL ESTATE EQUITIES, L.P., a Delaware limited partnership, managing member</w:t>
      </w:r>
    </w:p>
    <w:p>
      <w:pPr>
        <w:spacing w:after="0" w:line="137" w:lineRule="exact"/>
        <w:rPr>
          <w:sz w:val="20"/>
          <w:szCs w:val="20"/>
          <w:color w:val="auto"/>
        </w:rPr>
      </w:pPr>
    </w:p>
    <w:p>
      <w:pPr>
        <w:sectPr>
          <w:pgSz w:w="11900" w:h="16838" w:orient="portrait"/>
          <w:cols w:equalWidth="0" w:num="2">
            <w:col w:w="5620" w:space="340"/>
            <w:col w:w="4259"/>
          </w:cols>
          <w:pgMar w:left="240" w:top="270" w:right="1440" w:bottom="1440" w:gutter="0" w:footer="0" w:header="0"/>
          <w:type w:val="continuous"/>
        </w:sectPr>
      </w:pPr>
    </w:p>
    <w:p>
      <w:pPr>
        <w:ind w:left="596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ARE-QRS CORP.,</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a Maryland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general partner</w:t>
      </w:r>
    </w:p>
    <w:p>
      <w:pPr>
        <w:spacing w:after="0" w:line="200" w:lineRule="exact"/>
        <w:rPr>
          <w:sz w:val="20"/>
          <w:szCs w:val="20"/>
          <w:color w:val="auto"/>
        </w:rPr>
      </w:pPr>
    </w:p>
    <w:p>
      <w:pPr>
        <w:sectPr>
          <w:pgSz w:w="11900" w:h="16838" w:orient="portrait"/>
          <w:cols w:equalWidth="0" w:num="2">
            <w:col w:w="6220" w:space="180"/>
            <w:col w:w="3819"/>
          </w:cols>
          <w:pgMar w:left="240" w:top="270" w:right="1440" w:bottom="1440" w:gutter="0" w:footer="0" w:header="0"/>
          <w:type w:val="continuous"/>
        </w:sectPr>
      </w:pPr>
    </w:p>
    <w:p>
      <w:pPr>
        <w:spacing w:after="0" w:line="24" w:lineRule="exact"/>
        <w:rPr>
          <w:sz w:val="20"/>
          <w:szCs w:val="20"/>
          <w:color w:val="auto"/>
        </w:rPr>
      </w:pPr>
    </w:p>
    <w:p>
      <w:pPr>
        <w:ind w:left="6400"/>
        <w:spacing w:after="0"/>
        <w:rPr>
          <w:sz w:val="20"/>
          <w:szCs w:val="20"/>
          <w:color w:val="auto"/>
        </w:rPr>
      </w:pPr>
      <w:r>
        <w:rPr>
          <w:rFonts w:ascii="Arial" w:cs="Arial" w:eastAsia="Arial" w:hAnsi="Arial"/>
          <w:sz w:val="17"/>
          <w:szCs w:val="17"/>
          <w:color w:val="auto"/>
        </w:rPr>
        <w:t>By:</w:t>
      </w:r>
    </w:p>
    <w:p>
      <w:pPr>
        <w:spacing w:after="0" w:line="3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/s/ Eric S. Johnson</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Vice President, Real Estate</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Legal Affairs</w:t>
      </w:r>
    </w:p>
    <w:p>
      <w:pPr>
        <w:spacing w:after="0" w:line="200" w:lineRule="exact"/>
        <w:rPr>
          <w:sz w:val="20"/>
          <w:szCs w:val="20"/>
          <w:color w:val="auto"/>
        </w:rPr>
      </w:pPr>
    </w:p>
    <w:p>
      <w:pPr>
        <w:sectPr>
          <w:pgSz w:w="11900" w:h="16838" w:orient="portrait"/>
          <w:cols w:equalWidth="0" w:num="2">
            <w:col w:w="6660" w:space="200"/>
            <w:col w:w="3359"/>
          </w:cols>
          <w:pgMar w:left="240" w:top="270" w:right="1440" w:bottom="1440" w:gutter="0" w:footer="0" w:header="0"/>
          <w:type w:val="continuous"/>
        </w:sectPr>
      </w:pP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ENANTA PHARMACEUTICALS, INC.</w:t>
      </w:r>
      <w:r>
        <w:rPr>
          <w:rFonts w:ascii="Arial" w:cs="Arial" w:eastAsia="Arial" w:hAnsi="Arial"/>
          <w:sz w:val="18"/>
          <w:szCs w:val="18"/>
          <w:color w:val="auto"/>
        </w:rPr>
        <w: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 Delaware corporation</w:t>
      </w:r>
    </w:p>
    <w:p>
      <w:pPr>
        <w:spacing w:after="0" w:line="200" w:lineRule="exact"/>
        <w:rPr>
          <w:sz w:val="20"/>
          <w:szCs w:val="20"/>
          <w:color w:val="auto"/>
        </w:rPr>
      </w:pPr>
    </w:p>
    <w:p>
      <w:pPr>
        <w:sectPr>
          <w:pgSz w:w="11900" w:h="16838" w:orient="portrait"/>
          <w:cols w:equalWidth="0" w:num="2">
            <w:col w:w="4640" w:space="720"/>
            <w:col w:w="4859"/>
          </w:cols>
          <w:pgMar w:left="240" w:top="270" w:right="1440" w:bottom="1440" w:gutter="0" w:footer="0" w:header="0"/>
          <w:type w:val="continuous"/>
        </w:sectPr>
      </w:pPr>
    </w:p>
    <w:p>
      <w:pPr>
        <w:spacing w:after="0" w:line="11" w:lineRule="exact"/>
        <w:rPr>
          <w:sz w:val="20"/>
          <w:szCs w:val="20"/>
          <w:color w:val="auto"/>
        </w:rPr>
      </w:pPr>
    </w:p>
    <w:p>
      <w:pPr>
        <w:ind w:left="5360"/>
        <w:spacing w:after="0"/>
        <w:tabs>
          <w:tab w:leader="none" w:pos="5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Paul J. Mellett</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Name: Paul J. Mellett</w:t>
      </w:r>
    </w:p>
    <w:p>
      <w:pPr>
        <w:spacing w:after="0" w:line="9" w:lineRule="exact"/>
        <w:rPr>
          <w:sz w:val="20"/>
          <w:szCs w:val="20"/>
          <w:color w:val="auto"/>
        </w:rPr>
      </w:pPr>
    </w:p>
    <w:p>
      <w:pPr>
        <w:ind w:left="5360"/>
        <w:spacing w:after="0"/>
        <w:tabs>
          <w:tab w:leader="none" w:pos="5940" w:val="left"/>
        </w:tabs>
        <w:rPr>
          <w:sz w:val="20"/>
          <w:szCs w:val="20"/>
          <w:color w:val="auto"/>
        </w:rPr>
      </w:pPr>
      <w:r>
        <w:rPr>
          <w:rFonts w:ascii="Arial" w:cs="Arial" w:eastAsia="Arial" w:hAnsi="Arial"/>
          <w:sz w:val="17"/>
          <w:szCs w:val="17"/>
          <w:color w:val="auto"/>
        </w:rPr>
        <w:t>Title:</w:t>
        <w:tab/>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107315</wp:posOffset>
            </wp:positionV>
            <wp:extent cx="2641600" cy="3517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641600" cy="351790"/>
                    </a:xfrm>
                    <a:prstGeom prst="rect">
                      <a:avLst/>
                    </a:prstGeom>
                    <a:noFill/>
                  </pic:spPr>
                </pic:pic>
              </a:graphicData>
            </a:graphic>
          </wp:anchor>
        </w:drawing>
      </w:r>
    </w:p>
    <w:p>
      <w:pPr>
        <w:sectPr>
          <w:pgSz w:w="11900" w:h="16838" w:orient="portrait"/>
          <w:cols w:equalWidth="0" w:num="1">
            <w:col w:w="10219"/>
          </w:cols>
          <w:pgMar w:left="240" w:top="27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660"/>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0219"/>
          </w:cols>
          <w:pgMar w:left="240" w:top="270" w:right="1440" w:bottom="1440" w:gutter="0" w:footer="0" w:header="0"/>
          <w:type w:val="continuous"/>
        </w:sectPr>
      </w:pPr>
    </w:p>
    <w:bookmarkStart w:id="66" w:name="page67"/>
    <w:bookmarkEnd w:id="66"/>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Expansion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133985</wp:posOffset>
            </wp:positionV>
            <wp:extent cx="2641600" cy="3517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64160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9019"/>
          </w:cols>
          <w:pgMar w:left="1440" w:top="270" w:right="1440" w:bottom="1440" w:gutter="0" w:footer="0" w:header="0"/>
        </w:sectPr>
      </w:pPr>
    </w:p>
    <w:bookmarkStart w:id="67" w:name="page68"/>
    <w:bookmarkEnd w:id="67"/>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B</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u w:val="single" w:color="auto"/>
          <w:color w:val="auto"/>
        </w:rPr>
        <w:t>TENANT’S PERSONAL PROPERTY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119380</wp:posOffset>
            </wp:positionV>
            <wp:extent cx="2641600" cy="3517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4160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9019"/>
          </w:cols>
          <w:pgMar w:left="1440" w:top="270" w:right="1440" w:bottom="1440" w:gutter="0" w:footer="0" w:header="0"/>
        </w:sectPr>
      </w:pPr>
    </w:p>
    <w:bookmarkStart w:id="68" w:name="page69"/>
    <w:bookmarkEnd w:id="6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Work Letter</w:t>
      </w:r>
    </w:p>
    <w:p>
      <w:pPr>
        <w:spacing w:after="0" w:line="225"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THIS WORK LETTER dated March 5, 2015 (this “</w:t>
      </w:r>
      <w:r>
        <w:rPr>
          <w:rFonts w:ascii="Arial" w:cs="Arial" w:eastAsia="Arial" w:hAnsi="Arial"/>
          <w:sz w:val="18"/>
          <w:szCs w:val="18"/>
          <w:b w:val="1"/>
          <w:bCs w:val="1"/>
          <w:color w:val="auto"/>
        </w:rPr>
        <w:t>Work Letter</w:t>
      </w:r>
      <w:r>
        <w:rPr>
          <w:rFonts w:ascii="Arial" w:cs="Arial" w:eastAsia="Arial" w:hAnsi="Arial"/>
          <w:sz w:val="18"/>
          <w:szCs w:val="18"/>
          <w:color w:val="auto"/>
        </w:rPr>
        <w:t xml:space="preserve">”) is made and entered into by and between </w:t>
      </w:r>
      <w:r>
        <w:rPr>
          <w:rFonts w:ascii="Arial" w:cs="Arial" w:eastAsia="Arial" w:hAnsi="Arial"/>
          <w:sz w:val="18"/>
          <w:szCs w:val="18"/>
          <w:b w:val="1"/>
          <w:bCs w:val="1"/>
          <w:color w:val="auto"/>
        </w:rPr>
        <w:t>ARE-500 ARSENAL STREET, LLC</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Landlord</w:t>
      </w:r>
      <w:r>
        <w:rPr>
          <w:rFonts w:ascii="Arial" w:cs="Arial" w:eastAsia="Arial" w:hAnsi="Arial"/>
          <w:sz w:val="18"/>
          <w:szCs w:val="18"/>
          <w:color w:val="auto"/>
        </w:rPr>
        <w:t xml:space="preserve">”), and </w:t>
      </w:r>
      <w:r>
        <w:rPr>
          <w:rFonts w:ascii="Arial" w:cs="Arial" w:eastAsia="Arial" w:hAnsi="Arial"/>
          <w:sz w:val="18"/>
          <w:szCs w:val="18"/>
          <w:b w:val="1"/>
          <w:bCs w:val="1"/>
          <w:color w:val="auto"/>
        </w:rPr>
        <w:t>ENANTA PHARMACEUTICALS, INC.</w:t>
      </w:r>
      <w:r>
        <w:rPr>
          <w:rFonts w:ascii="Arial" w:cs="Arial" w:eastAsia="Arial" w:hAnsi="Arial"/>
          <w:sz w:val="18"/>
          <w:szCs w:val="18"/>
          <w:color w:val="auto"/>
        </w:rPr>
        <w:t>, a Delaware corporation (“</w:t>
      </w:r>
      <w:r>
        <w:rPr>
          <w:rFonts w:ascii="Arial" w:cs="Arial" w:eastAsia="Arial" w:hAnsi="Arial"/>
          <w:sz w:val="18"/>
          <w:szCs w:val="18"/>
          <w:b w:val="1"/>
          <w:bCs w:val="1"/>
          <w:color w:val="auto"/>
        </w:rPr>
        <w:t>Tenant</w:t>
      </w:r>
      <w:r>
        <w:rPr>
          <w:rFonts w:ascii="Arial" w:cs="Arial" w:eastAsia="Arial" w:hAnsi="Arial"/>
          <w:sz w:val="18"/>
          <w:szCs w:val="18"/>
          <w:color w:val="auto"/>
        </w:rPr>
        <w:t>”), and is attached to and made a part of the Lease Agreement dated April 15, 2011, as amended by that certain First Amendment to Lease Agreement dated of even date herewith (“</w:t>
      </w:r>
      <w:r>
        <w:rPr>
          <w:rFonts w:ascii="Arial" w:cs="Arial" w:eastAsia="Arial" w:hAnsi="Arial"/>
          <w:sz w:val="18"/>
          <w:szCs w:val="18"/>
          <w:b w:val="1"/>
          <w:bCs w:val="1"/>
          <w:color w:val="auto"/>
        </w:rPr>
        <w:t>First Amendment</w:t>
      </w:r>
      <w:r>
        <w:rPr>
          <w:rFonts w:ascii="Arial" w:cs="Arial" w:eastAsia="Arial" w:hAnsi="Arial"/>
          <w:sz w:val="18"/>
          <w:szCs w:val="18"/>
          <w:color w:val="auto"/>
        </w:rPr>
        <w:t>”) (as amended, the “</w:t>
      </w:r>
      <w:r>
        <w:rPr>
          <w:rFonts w:ascii="Arial" w:cs="Arial" w:eastAsia="Arial" w:hAnsi="Arial"/>
          <w:sz w:val="18"/>
          <w:szCs w:val="18"/>
          <w:b w:val="1"/>
          <w:bCs w:val="1"/>
          <w:color w:val="auto"/>
        </w:rPr>
        <w:t>Lease</w:t>
      </w:r>
      <w:r>
        <w:rPr>
          <w:rFonts w:ascii="Arial" w:cs="Arial" w:eastAsia="Arial" w:hAnsi="Arial"/>
          <w:sz w:val="18"/>
          <w:szCs w:val="18"/>
          <w:color w:val="auto"/>
        </w:rPr>
        <w:t>”), by and between Landlord and Tenant. Any initially capitalized terms used but not defined herein shall have the meanings given them in the Lease.</w:t>
      </w:r>
    </w:p>
    <w:p>
      <w:pPr>
        <w:spacing w:after="0" w:line="184" w:lineRule="exact"/>
        <w:rPr>
          <w:sz w:val="20"/>
          <w:szCs w:val="20"/>
          <w:color w:val="auto"/>
        </w:rPr>
      </w:pPr>
    </w:p>
    <w:p>
      <w:pPr>
        <w:ind w:left="640" w:hanging="176"/>
        <w:spacing w:after="0"/>
        <w:tabs>
          <w:tab w:leader="none" w:pos="640" w:val="left"/>
        </w:tabs>
        <w:numPr>
          <w:ilvl w:val="0"/>
          <w:numId w:val="53"/>
        </w:numPr>
        <w:rPr>
          <w:rFonts w:ascii="Arial" w:cs="Arial" w:eastAsia="Arial" w:hAnsi="Arial"/>
          <w:sz w:val="18"/>
          <w:szCs w:val="18"/>
          <w:color w:val="auto"/>
        </w:rPr>
      </w:pPr>
      <w:r>
        <w:rPr>
          <w:rFonts w:ascii="Arial" w:cs="Arial" w:eastAsia="Arial" w:hAnsi="Arial"/>
          <w:sz w:val="18"/>
          <w:szCs w:val="18"/>
          <w:b w:val="1"/>
          <w:bCs w:val="1"/>
          <w:color w:val="auto"/>
        </w:rPr>
        <w:t>General Requirements</w:t>
      </w:r>
      <w:r>
        <w:rPr>
          <w:rFonts w:ascii="Arial" w:cs="Arial" w:eastAsia="Arial" w:hAnsi="Arial"/>
          <w:sz w:val="18"/>
          <w:szCs w:val="18"/>
          <w:color w:val="auto"/>
        </w:rPr>
        <w:t>.</w:t>
      </w:r>
    </w:p>
    <w:p>
      <w:pPr>
        <w:spacing w:after="0" w:line="225" w:lineRule="exact"/>
        <w:rPr>
          <w:sz w:val="20"/>
          <w:szCs w:val="20"/>
          <w:color w:val="auto"/>
        </w:rPr>
      </w:pPr>
    </w:p>
    <w:p>
      <w:pPr>
        <w:ind w:right="200" w:firstLine="464"/>
        <w:spacing w:after="0" w:line="256" w:lineRule="auto"/>
        <w:tabs>
          <w:tab w:leader="none" w:pos="701"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Tenant’s Authorized Representative</w:t>
      </w:r>
      <w:r>
        <w:rPr>
          <w:rFonts w:ascii="Arial" w:cs="Arial" w:eastAsia="Arial" w:hAnsi="Arial"/>
          <w:sz w:val="18"/>
          <w:szCs w:val="18"/>
          <w:color w:val="auto"/>
        </w:rPr>
        <w:t>. Tenant designates Jeff Higgins and Paul Mellett (either such individual acting alone, “</w:t>
      </w:r>
      <w:r>
        <w:rPr>
          <w:rFonts w:ascii="Arial" w:cs="Arial" w:eastAsia="Arial" w:hAnsi="Arial"/>
          <w:sz w:val="18"/>
          <w:szCs w:val="18"/>
          <w:b w:val="1"/>
          <w:bCs w:val="1"/>
          <w:color w:val="auto"/>
        </w:rPr>
        <w:t>Tenant’s Representative</w:t>
      </w:r>
      <w:r>
        <w:rPr>
          <w:rFonts w:ascii="Arial" w:cs="Arial" w:eastAsia="Arial" w:hAnsi="Arial"/>
          <w:sz w:val="18"/>
          <w:szCs w:val="18"/>
          <w:color w:val="auto"/>
        </w:rPr>
        <w:t>”) as the only person authorized to act for Tenant pursuant to this Work Letter. Landlord shall not be obligated to respond to or act upon any</w:t>
      </w:r>
      <w:r>
        <w:rPr>
          <w:rFonts w:ascii="Arial" w:cs="Arial" w:eastAsia="Arial" w:hAnsi="Arial"/>
          <w:sz w:val="18"/>
          <w:szCs w:val="18"/>
          <w:b w:val="1"/>
          <w:bCs w:val="1"/>
          <w:color w:val="auto"/>
        </w:rPr>
        <w:t xml:space="preserve"> </w:t>
      </w:r>
      <w:r>
        <w:rPr>
          <w:rFonts w:ascii="Arial" w:cs="Arial" w:eastAsia="Arial" w:hAnsi="Arial"/>
          <w:sz w:val="18"/>
          <w:szCs w:val="18"/>
          <w:color w:val="auto"/>
        </w:rPr>
        <w:t>request, approval, inquiry or other communication (“</w:t>
      </w:r>
      <w:r>
        <w:rPr>
          <w:rFonts w:ascii="Arial" w:cs="Arial" w:eastAsia="Arial" w:hAnsi="Arial"/>
          <w:sz w:val="18"/>
          <w:szCs w:val="18"/>
          <w:b w:val="1"/>
          <w:bCs w:val="1"/>
          <w:color w:val="auto"/>
        </w:rPr>
        <w:t>Communication</w:t>
      </w:r>
      <w:r>
        <w:rPr>
          <w:rFonts w:ascii="Arial" w:cs="Arial" w:eastAsia="Arial" w:hAnsi="Arial"/>
          <w:sz w:val="18"/>
          <w:szCs w:val="18"/>
          <w:color w:val="auto"/>
        </w:rPr>
        <w:t>”) from or on behalf of Tenant in connection with this Work Letter unless such Communication is in writing from Tenant’s Representative. Tenant may change any Tenant’s Representative at any time upon not less than 5 business days advance written notice to Landlord. Neither Tenant nor Tenant’s Representative shall be authorized to direct Landlord’s contractors in the performance of Landlord’s Work (as hereinafter defined).</w:t>
      </w:r>
    </w:p>
    <w:p>
      <w:pPr>
        <w:spacing w:after="0" w:line="187" w:lineRule="exact"/>
        <w:rPr>
          <w:rFonts w:ascii="Arial" w:cs="Arial" w:eastAsia="Arial" w:hAnsi="Arial"/>
          <w:sz w:val="18"/>
          <w:szCs w:val="18"/>
          <w:color w:val="auto"/>
        </w:rPr>
      </w:pPr>
    </w:p>
    <w:p>
      <w:pPr>
        <w:ind w:right="40" w:firstLine="464"/>
        <w:spacing w:after="0" w:line="256" w:lineRule="auto"/>
        <w:tabs>
          <w:tab w:leader="none" w:pos="711"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Landlord’s Authorized Representative</w:t>
      </w:r>
      <w:r>
        <w:rPr>
          <w:rFonts w:ascii="Arial" w:cs="Arial" w:eastAsia="Arial" w:hAnsi="Arial"/>
          <w:sz w:val="18"/>
          <w:szCs w:val="18"/>
          <w:color w:val="auto"/>
        </w:rPr>
        <w:t>. Landlord designates Joseph Maguire, Jo Ann Merlino-Rogers and William DePippo (either such</w:t>
      </w:r>
      <w:r>
        <w:rPr>
          <w:rFonts w:ascii="Arial" w:cs="Arial" w:eastAsia="Arial" w:hAnsi="Arial"/>
          <w:sz w:val="18"/>
          <w:szCs w:val="18"/>
          <w:b w:val="1"/>
          <w:bCs w:val="1"/>
          <w:color w:val="auto"/>
        </w:rPr>
        <w:t xml:space="preserve"> </w:t>
      </w:r>
      <w:r>
        <w:rPr>
          <w:rFonts w:ascii="Arial" w:cs="Arial" w:eastAsia="Arial" w:hAnsi="Arial"/>
          <w:sz w:val="18"/>
          <w:szCs w:val="18"/>
          <w:color w:val="auto"/>
        </w:rPr>
        <w:t>individual acting alone, “</w:t>
      </w:r>
      <w:r>
        <w:rPr>
          <w:rFonts w:ascii="Arial" w:cs="Arial" w:eastAsia="Arial" w:hAnsi="Arial"/>
          <w:sz w:val="18"/>
          <w:szCs w:val="18"/>
          <w:b w:val="1"/>
          <w:bCs w:val="1"/>
          <w:color w:val="auto"/>
        </w:rPr>
        <w:t>Landlord’s Representative</w:t>
      </w:r>
      <w:r>
        <w:rPr>
          <w:rFonts w:ascii="Arial" w:cs="Arial" w:eastAsia="Arial" w:hAnsi="Arial"/>
          <w:sz w:val="18"/>
          <w:szCs w:val="18"/>
          <w:color w:val="auto"/>
        </w:rPr>
        <w:t>”) as the only persons authorized to act for Landlord pursuant to this Work Letter. Tenant shall not be obligated to respond to or act upon any request, approval, inquiry or other Communication from or on behalf of Landlord in connection with this Work Letter unless such Communication is in writing from Landlord’s Representative. Landlord may change any Landlord’s Representative at any time upon not less than 5 business days advance written notice to Tenant. Landlord’s Representative shall be the sole persons authorized to direct Landlord’s contractors in the performance of Landlord’s Work.</w:t>
      </w:r>
    </w:p>
    <w:p>
      <w:pPr>
        <w:spacing w:after="0" w:line="187" w:lineRule="exact"/>
        <w:rPr>
          <w:rFonts w:ascii="Arial" w:cs="Arial" w:eastAsia="Arial" w:hAnsi="Arial"/>
          <w:sz w:val="18"/>
          <w:szCs w:val="18"/>
          <w:color w:val="auto"/>
        </w:rPr>
      </w:pPr>
    </w:p>
    <w:p>
      <w:pPr>
        <w:ind w:right="160" w:firstLine="464"/>
        <w:spacing w:after="0" w:line="266" w:lineRule="auto"/>
        <w:tabs>
          <w:tab w:leader="none" w:pos="701" w:val="left"/>
        </w:tabs>
        <w:numPr>
          <w:ilvl w:val="0"/>
          <w:numId w:val="54"/>
        </w:numPr>
        <w:rPr>
          <w:rFonts w:ascii="Arial" w:cs="Arial" w:eastAsia="Arial" w:hAnsi="Arial"/>
          <w:sz w:val="18"/>
          <w:szCs w:val="18"/>
          <w:color w:val="auto"/>
        </w:rPr>
      </w:pPr>
      <w:r>
        <w:rPr>
          <w:rFonts w:ascii="Arial" w:cs="Arial" w:eastAsia="Arial" w:hAnsi="Arial"/>
          <w:sz w:val="18"/>
          <w:szCs w:val="18"/>
          <w:b w:val="1"/>
          <w:bCs w:val="1"/>
          <w:color w:val="auto"/>
        </w:rPr>
        <w:t>Architects, Consultants and Contractors</w:t>
      </w:r>
      <w:r>
        <w:rPr>
          <w:rFonts w:ascii="Arial" w:cs="Arial" w:eastAsia="Arial" w:hAnsi="Arial"/>
          <w:sz w:val="18"/>
          <w:szCs w:val="18"/>
          <w:color w:val="auto"/>
        </w:rPr>
        <w:t>. Landlord and Tenant hereby acknowledge and agree that: (i) the general contractor and any</w:t>
      </w:r>
      <w:r>
        <w:rPr>
          <w:rFonts w:ascii="Arial" w:cs="Arial" w:eastAsia="Arial" w:hAnsi="Arial"/>
          <w:sz w:val="18"/>
          <w:szCs w:val="18"/>
          <w:b w:val="1"/>
          <w:bCs w:val="1"/>
          <w:color w:val="auto"/>
        </w:rPr>
        <w:t xml:space="preserve"> </w:t>
      </w:r>
      <w:r>
        <w:rPr>
          <w:rFonts w:ascii="Arial" w:cs="Arial" w:eastAsia="Arial" w:hAnsi="Arial"/>
          <w:sz w:val="18"/>
          <w:szCs w:val="18"/>
          <w:color w:val="auto"/>
        </w:rPr>
        <w:t>subcontractors for the Tenant Improvements shall be selected by Landlord, subject to Tenant’s approval, which approval shall not be unreasonably withheld, conditioned or delayed, and (ii) Olson Lewis shall be the architect (the “</w:t>
      </w:r>
      <w:r>
        <w:rPr>
          <w:rFonts w:ascii="Arial" w:cs="Arial" w:eastAsia="Arial" w:hAnsi="Arial"/>
          <w:sz w:val="18"/>
          <w:szCs w:val="18"/>
          <w:b w:val="1"/>
          <w:bCs w:val="1"/>
          <w:color w:val="auto"/>
        </w:rPr>
        <w:t>TI Architect</w:t>
      </w:r>
      <w:r>
        <w:rPr>
          <w:rFonts w:ascii="Arial" w:cs="Arial" w:eastAsia="Arial" w:hAnsi="Arial"/>
          <w:sz w:val="18"/>
          <w:szCs w:val="18"/>
          <w:color w:val="auto"/>
        </w:rPr>
        <w:t>”) for the Tenant Improvements.</w:t>
      </w:r>
    </w:p>
    <w:p>
      <w:pPr>
        <w:spacing w:after="0" w:line="176" w:lineRule="exact"/>
        <w:rPr>
          <w:sz w:val="20"/>
          <w:szCs w:val="20"/>
          <w:color w:val="auto"/>
        </w:rPr>
      </w:pPr>
    </w:p>
    <w:p>
      <w:pPr>
        <w:ind w:left="640" w:hanging="176"/>
        <w:spacing w:after="0"/>
        <w:tabs>
          <w:tab w:leader="none" w:pos="640" w:val="left"/>
        </w:tabs>
        <w:numPr>
          <w:ilvl w:val="0"/>
          <w:numId w:val="55"/>
        </w:numPr>
        <w:rPr>
          <w:rFonts w:ascii="Arial" w:cs="Arial" w:eastAsia="Arial" w:hAnsi="Arial"/>
          <w:sz w:val="18"/>
          <w:szCs w:val="18"/>
          <w:color w:val="auto"/>
        </w:rPr>
      </w:pPr>
      <w:r>
        <w:rPr>
          <w:rFonts w:ascii="Arial" w:cs="Arial" w:eastAsia="Arial" w:hAnsi="Arial"/>
          <w:sz w:val="18"/>
          <w:szCs w:val="18"/>
          <w:b w:val="1"/>
          <w:bCs w:val="1"/>
          <w:color w:val="auto"/>
        </w:rPr>
        <w:t>Tenant Improvements</w:t>
      </w:r>
      <w:r>
        <w:rPr>
          <w:rFonts w:ascii="Arial" w:cs="Arial" w:eastAsia="Arial" w:hAnsi="Arial"/>
          <w:sz w:val="18"/>
          <w:szCs w:val="18"/>
          <w:color w:val="auto"/>
        </w:rPr>
        <w:t>.</w:t>
      </w:r>
    </w:p>
    <w:p>
      <w:pPr>
        <w:spacing w:after="0" w:line="225" w:lineRule="exact"/>
        <w:rPr>
          <w:sz w:val="20"/>
          <w:szCs w:val="20"/>
          <w:color w:val="auto"/>
        </w:rPr>
      </w:pPr>
    </w:p>
    <w:p>
      <w:pPr>
        <w:ind w:right="20" w:firstLine="464"/>
        <w:spacing w:after="0" w:line="255" w:lineRule="auto"/>
        <w:tabs>
          <w:tab w:leader="none" w:pos="701"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Definition of Base Building Improvements, Tenant Improvements and Landlord’s Work</w:t>
      </w:r>
      <w:r>
        <w:rPr>
          <w:rFonts w:ascii="Arial" w:cs="Arial" w:eastAsia="Arial" w:hAnsi="Arial"/>
          <w:sz w:val="18"/>
          <w:szCs w:val="18"/>
          <w:color w:val="auto"/>
        </w:rPr>
        <w:t>. As used herein, the term, “</w:t>
      </w:r>
      <w:r>
        <w:rPr>
          <w:rFonts w:ascii="Arial" w:cs="Arial" w:eastAsia="Arial" w:hAnsi="Arial"/>
          <w:sz w:val="18"/>
          <w:szCs w:val="18"/>
          <w:b w:val="1"/>
          <w:bCs w:val="1"/>
          <w:color w:val="auto"/>
        </w:rPr>
        <w:t>Base Building Improvements</w:t>
      </w:r>
      <w:r>
        <w:rPr>
          <w:rFonts w:ascii="Arial" w:cs="Arial" w:eastAsia="Arial" w:hAnsi="Arial"/>
          <w:sz w:val="18"/>
          <w:szCs w:val="18"/>
          <w:color w:val="auto"/>
        </w:rPr>
        <w:t>” shall mean the improvements to the Building reflected on</w:t>
      </w:r>
      <w:r>
        <w:rPr>
          <w:rFonts w:ascii="Arial" w:cs="Arial" w:eastAsia="Arial" w:hAnsi="Arial"/>
          <w:sz w:val="18"/>
          <w:szCs w:val="18"/>
          <w:b w:val="1"/>
          <w:bCs w:val="1"/>
          <w:color w:val="auto"/>
        </w:rPr>
        <w:t xml:space="preserve"> Schedule 1 </w:t>
      </w:r>
      <w:r>
        <w:rPr>
          <w:rFonts w:ascii="Arial" w:cs="Arial" w:eastAsia="Arial" w:hAnsi="Arial"/>
          <w:sz w:val="18"/>
          <w:szCs w:val="18"/>
          <w:color w:val="auto"/>
        </w:rPr>
        <w:t>attached to this Work Letter. As used herein, the term “</w:t>
      </w:r>
      <w:r>
        <w:rPr>
          <w:rFonts w:ascii="Arial" w:cs="Arial" w:eastAsia="Arial" w:hAnsi="Arial"/>
          <w:sz w:val="18"/>
          <w:szCs w:val="18"/>
          <w:b w:val="1"/>
          <w:bCs w:val="1"/>
          <w:color w:val="auto"/>
        </w:rPr>
        <w:t>Tenant Improvements</w:t>
      </w:r>
      <w:r>
        <w:rPr>
          <w:rFonts w:ascii="Arial" w:cs="Arial" w:eastAsia="Arial" w:hAnsi="Arial"/>
          <w:sz w:val="18"/>
          <w:szCs w:val="18"/>
          <w:color w:val="auto"/>
        </w:rPr>
        <w:t>” shall mean all improvements to the Expansion Premises and the Original Premises of a fixed and permanent nature as shown on the TI</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Construction Drawings (as defined in </w:t>
      </w:r>
      <w:r>
        <w:rPr>
          <w:rFonts w:ascii="Arial" w:cs="Arial" w:eastAsia="Arial" w:hAnsi="Arial"/>
          <w:sz w:val="18"/>
          <w:szCs w:val="18"/>
          <w:u w:val="single" w:color="auto"/>
          <w:color w:val="auto"/>
        </w:rPr>
        <w:t>Section 2(c)</w:t>
      </w:r>
      <w:r>
        <w:rPr>
          <w:rFonts w:ascii="Arial" w:cs="Arial" w:eastAsia="Arial" w:hAnsi="Arial"/>
          <w:sz w:val="18"/>
          <w:szCs w:val="18"/>
          <w:color w:val="auto"/>
        </w:rPr>
        <w:t xml:space="preserve"> below) approved by Landlord and Tenant in accordance with the provisions of this Work Letter. As used herein, the term “</w:t>
      </w:r>
      <w:r>
        <w:rPr>
          <w:rFonts w:ascii="Arial" w:cs="Arial" w:eastAsia="Arial" w:hAnsi="Arial"/>
          <w:sz w:val="18"/>
          <w:szCs w:val="18"/>
          <w:b w:val="1"/>
          <w:bCs w:val="1"/>
          <w:color w:val="auto"/>
        </w:rPr>
        <w:t>Landlord’s Work</w:t>
      </w:r>
      <w:r>
        <w:rPr>
          <w:rFonts w:ascii="Arial" w:cs="Arial" w:eastAsia="Arial" w:hAnsi="Arial"/>
          <w:sz w:val="18"/>
          <w:szCs w:val="18"/>
          <w:color w:val="auto"/>
        </w:rPr>
        <w:t xml:space="preserve">” shall mean collectively the work of constructing the Base Building Improvements and the Tenant Improvements. Other than Landlord’s Work, Landlord shall not have any obligation whatsoever with respect to the finishing of the Expansion Premises or the Original Premises for Tenant’s use and occupancy. The current schedule for Landlord’s Work (which remains subject to change) is attached to this Work Letter as </w:t>
      </w:r>
      <w:r>
        <w:rPr>
          <w:rFonts w:ascii="Arial" w:cs="Arial" w:eastAsia="Arial" w:hAnsi="Arial"/>
          <w:sz w:val="18"/>
          <w:szCs w:val="18"/>
          <w:b w:val="1"/>
          <w:bCs w:val="1"/>
          <w:color w:val="auto"/>
        </w:rPr>
        <w:t>Schedule 3</w:t>
      </w:r>
      <w:r>
        <w:rPr>
          <w:rFonts w:ascii="Arial" w:cs="Arial" w:eastAsia="Arial" w:hAnsi="Arial"/>
          <w:sz w:val="18"/>
          <w:szCs w:val="18"/>
          <w:color w:val="auto"/>
        </w:rPr>
        <w:t xml:space="preserve"> (the “</w:t>
      </w:r>
      <w:r>
        <w:rPr>
          <w:rFonts w:ascii="Arial" w:cs="Arial" w:eastAsia="Arial" w:hAnsi="Arial"/>
          <w:sz w:val="18"/>
          <w:szCs w:val="18"/>
          <w:b w:val="1"/>
          <w:bCs w:val="1"/>
          <w:color w:val="auto"/>
        </w:rPr>
        <w:t>Construction Schedule</w:t>
      </w:r>
      <w:r>
        <w:rPr>
          <w:rFonts w:ascii="Arial" w:cs="Arial" w:eastAsia="Arial" w:hAnsi="Arial"/>
          <w:sz w:val="18"/>
          <w:szCs w:val="18"/>
          <w:color w:val="auto"/>
        </w:rPr>
        <w:t>”).</w:t>
      </w:r>
    </w:p>
    <w:p>
      <w:pPr>
        <w:spacing w:after="0" w:line="189"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Notwithstanding anything to the contrary contained in this Work Letter, Landlord shall cause, at Landlord’s sole cost and expense, the remediation, in a manner acceptable to Landlord in its sole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74295</wp:posOffset>
            </wp:positionV>
            <wp:extent cx="2641600" cy="3517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64160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270" w:right="239" w:bottom="1440" w:gutter="0" w:footer="0" w:header="0"/>
        </w:sectPr>
      </w:pPr>
    </w:p>
    <w:bookmarkStart w:id="69" w:name="page70"/>
    <w:bookmarkEnd w:id="69"/>
    <w:p>
      <w:pPr>
        <w:ind w:right="7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absolute discretion and otherwise in compliance with Legal Requirements, of Hazardous Materials discovered in the Expansion Premises during the construction of Landlord’s Work in the Expansion Premises requiring remediation.</w:t>
      </w:r>
    </w:p>
    <w:p>
      <w:pPr>
        <w:spacing w:after="0" w:line="166" w:lineRule="exact"/>
        <w:rPr>
          <w:sz w:val="20"/>
          <w:szCs w:val="20"/>
          <w:color w:val="auto"/>
        </w:rPr>
      </w:pPr>
    </w:p>
    <w:p>
      <w:pPr>
        <w:ind w:right="80" w:firstLine="464"/>
        <w:spacing w:after="0" w:line="282" w:lineRule="auto"/>
        <w:tabs>
          <w:tab w:leader="none" w:pos="711" w:val="left"/>
        </w:tabs>
        <w:numPr>
          <w:ilvl w:val="0"/>
          <w:numId w:val="57"/>
        </w:numPr>
        <w:rPr>
          <w:rFonts w:ascii="Arial" w:cs="Arial" w:eastAsia="Arial" w:hAnsi="Arial"/>
          <w:sz w:val="18"/>
          <w:szCs w:val="18"/>
          <w:color w:val="auto"/>
        </w:rPr>
      </w:pPr>
      <w:r>
        <w:rPr>
          <w:rFonts w:ascii="Arial" w:cs="Arial" w:eastAsia="Arial" w:hAnsi="Arial"/>
          <w:sz w:val="18"/>
          <w:szCs w:val="18"/>
          <w:b w:val="1"/>
          <w:bCs w:val="1"/>
          <w:color w:val="auto"/>
        </w:rPr>
        <w:t>Tenant’s Space Plans</w:t>
      </w:r>
      <w:r>
        <w:rPr>
          <w:rFonts w:ascii="Arial" w:cs="Arial" w:eastAsia="Arial" w:hAnsi="Arial"/>
          <w:sz w:val="18"/>
          <w:szCs w:val="18"/>
          <w:color w:val="auto"/>
        </w:rPr>
        <w:t>. Landlord and Tenant acknowledge and agree that the space plan prepared by the TI Architect attached hereto as</w:t>
      </w:r>
      <w:r>
        <w:rPr>
          <w:rFonts w:ascii="Arial" w:cs="Arial" w:eastAsia="Arial" w:hAnsi="Arial"/>
          <w:sz w:val="18"/>
          <w:szCs w:val="18"/>
          <w:b w:val="1"/>
          <w:bCs w:val="1"/>
          <w:color w:val="auto"/>
        </w:rPr>
        <w:t xml:space="preserve"> Schedule 2 </w:t>
      </w:r>
      <w:r>
        <w:rPr>
          <w:rFonts w:ascii="Arial" w:cs="Arial" w:eastAsia="Arial" w:hAnsi="Arial"/>
          <w:sz w:val="18"/>
          <w:szCs w:val="18"/>
          <w:color w:val="auto"/>
        </w:rPr>
        <w:t>(the “</w:t>
      </w:r>
      <w:r>
        <w:rPr>
          <w:rFonts w:ascii="Arial" w:cs="Arial" w:eastAsia="Arial" w:hAnsi="Arial"/>
          <w:sz w:val="18"/>
          <w:szCs w:val="18"/>
          <w:b w:val="1"/>
          <w:bCs w:val="1"/>
          <w:color w:val="auto"/>
        </w:rPr>
        <w:t>Space Plan</w:t>
      </w:r>
      <w:r>
        <w:rPr>
          <w:rFonts w:ascii="Arial" w:cs="Arial" w:eastAsia="Arial" w:hAnsi="Arial"/>
          <w:sz w:val="18"/>
          <w:szCs w:val="18"/>
          <w:color w:val="auto"/>
        </w:rPr>
        <w:t>”) has been approved by both Landlord and Tenant.</w:t>
      </w:r>
    </w:p>
    <w:p>
      <w:pPr>
        <w:spacing w:after="0" w:line="161" w:lineRule="exact"/>
        <w:rPr>
          <w:rFonts w:ascii="Arial" w:cs="Arial" w:eastAsia="Arial" w:hAnsi="Arial"/>
          <w:sz w:val="18"/>
          <w:szCs w:val="18"/>
          <w:color w:val="auto"/>
        </w:rPr>
      </w:pPr>
    </w:p>
    <w:p>
      <w:pPr>
        <w:ind w:firstLine="464"/>
        <w:spacing w:after="0" w:line="269" w:lineRule="auto"/>
        <w:tabs>
          <w:tab w:leader="none" w:pos="701" w:val="left"/>
        </w:tabs>
        <w:numPr>
          <w:ilvl w:val="0"/>
          <w:numId w:val="57"/>
        </w:numPr>
        <w:rPr>
          <w:rFonts w:ascii="Arial" w:cs="Arial" w:eastAsia="Arial" w:hAnsi="Arial"/>
          <w:sz w:val="17"/>
          <w:szCs w:val="17"/>
          <w:color w:val="auto"/>
        </w:rPr>
      </w:pPr>
      <w:r>
        <w:rPr>
          <w:rFonts w:ascii="Arial" w:cs="Arial" w:eastAsia="Arial" w:hAnsi="Arial"/>
          <w:sz w:val="17"/>
          <w:szCs w:val="17"/>
          <w:b w:val="1"/>
          <w:bCs w:val="1"/>
          <w:color w:val="auto"/>
        </w:rPr>
        <w:t>Working Drawings</w:t>
      </w:r>
      <w:r>
        <w:rPr>
          <w:rFonts w:ascii="Arial" w:cs="Arial" w:eastAsia="Arial" w:hAnsi="Arial"/>
          <w:sz w:val="17"/>
          <w:szCs w:val="17"/>
          <w:color w:val="auto"/>
        </w:rPr>
        <w:t>. Landlord shall cause the TI Architect to prepare and deliver to Tenant for review and comment construction plans,</w:t>
      </w:r>
      <w:r>
        <w:rPr>
          <w:rFonts w:ascii="Arial" w:cs="Arial" w:eastAsia="Arial" w:hAnsi="Arial"/>
          <w:sz w:val="17"/>
          <w:szCs w:val="17"/>
          <w:b w:val="1"/>
          <w:bCs w:val="1"/>
          <w:color w:val="auto"/>
        </w:rPr>
        <w:t xml:space="preserve"> </w:t>
      </w:r>
      <w:r>
        <w:rPr>
          <w:rFonts w:ascii="Arial" w:cs="Arial" w:eastAsia="Arial" w:hAnsi="Arial"/>
          <w:sz w:val="17"/>
          <w:szCs w:val="17"/>
          <w:color w:val="auto"/>
        </w:rPr>
        <w:t>specifications and drawings for the Tenant Improvements (“</w:t>
      </w:r>
      <w:r>
        <w:rPr>
          <w:rFonts w:ascii="Arial" w:cs="Arial" w:eastAsia="Arial" w:hAnsi="Arial"/>
          <w:sz w:val="17"/>
          <w:szCs w:val="17"/>
          <w:b w:val="1"/>
          <w:bCs w:val="1"/>
          <w:color w:val="auto"/>
        </w:rPr>
        <w:t>TI Construction Drawings</w:t>
      </w:r>
      <w:r>
        <w:rPr>
          <w:rFonts w:ascii="Arial" w:cs="Arial" w:eastAsia="Arial" w:hAnsi="Arial"/>
          <w:sz w:val="17"/>
          <w:szCs w:val="17"/>
          <w:color w:val="auto"/>
        </w:rPr>
        <w:t xml:space="preserve">”), which TI Construction Drawings shall be prepared substantially in accordance with the Space Plan. Tenant shall be solely responsible for ensuring that the TI Construction Drawings reflect Tenant’s design requirements for the Tenant Improvements. Tenant shall deliver its written comments on the TI Construction Drawings to Landlord not later than 10 business days after Tenant’s receipt of the same; provided, however, that Tenant may not disapprove any matter that is consistent with the Space Plan without submitting a Change Request. Landlord and the TI Architect shall consider all such comments in good faith and shall, within 10 business days after receipt, notify Tenant how Landlord proposes to respond to such comments, but Tenant’s review rights pursuant to the foregoing sentence shall not delay the design or construction schedule for the Tenant Improvements. Any disputes in connection with such comments shall be resolved in accordance with </w:t>
      </w:r>
      <w:r>
        <w:rPr>
          <w:rFonts w:ascii="Arial" w:cs="Arial" w:eastAsia="Arial" w:hAnsi="Arial"/>
          <w:sz w:val="17"/>
          <w:szCs w:val="17"/>
          <w:u w:val="single" w:color="auto"/>
          <w:color w:val="auto"/>
        </w:rPr>
        <w:t>Section 2(d)</w:t>
      </w:r>
      <w:r>
        <w:rPr>
          <w:rFonts w:ascii="Arial" w:cs="Arial" w:eastAsia="Arial" w:hAnsi="Arial"/>
          <w:sz w:val="17"/>
          <w:szCs w:val="17"/>
          <w:color w:val="auto"/>
        </w:rPr>
        <w:t xml:space="preserve"> hereof. Provided that the design reflected in the TI Construction Drawings is consistent with the Space Plan, Tenant shall approve the TI Construction Drawings submitted by Landlord, unless Tenant submits a Change Request. Once approved by Tenant, subject to the provisions of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below, Landlord shall not materially modify the TI Construction Drawings except as may be reasonably required in connection with the issuance of the TI Permit (as defined in </w:t>
      </w:r>
      <w:r>
        <w:rPr>
          <w:rFonts w:ascii="Arial" w:cs="Arial" w:eastAsia="Arial" w:hAnsi="Arial"/>
          <w:sz w:val="17"/>
          <w:szCs w:val="17"/>
          <w:u w:val="single" w:color="auto"/>
          <w:color w:val="auto"/>
        </w:rPr>
        <w:t>Section 3(b)</w:t>
      </w:r>
      <w:r>
        <w:rPr>
          <w:rFonts w:ascii="Arial" w:cs="Arial" w:eastAsia="Arial" w:hAnsi="Arial"/>
          <w:sz w:val="17"/>
          <w:szCs w:val="17"/>
          <w:color w:val="auto"/>
        </w:rPr>
        <w:t xml:space="preserve"> below).</w:t>
      </w:r>
    </w:p>
    <w:p>
      <w:pPr>
        <w:spacing w:after="0" w:line="179" w:lineRule="exact"/>
        <w:rPr>
          <w:rFonts w:ascii="Arial" w:cs="Arial" w:eastAsia="Arial" w:hAnsi="Arial"/>
          <w:sz w:val="17"/>
          <w:szCs w:val="17"/>
          <w:color w:val="auto"/>
        </w:rPr>
      </w:pPr>
    </w:p>
    <w:p>
      <w:pPr>
        <w:ind w:firstLine="464"/>
        <w:spacing w:after="0" w:line="291" w:lineRule="auto"/>
        <w:tabs>
          <w:tab w:leader="none" w:pos="711" w:val="left"/>
        </w:tabs>
        <w:numPr>
          <w:ilvl w:val="0"/>
          <w:numId w:val="57"/>
        </w:numPr>
        <w:rPr>
          <w:rFonts w:ascii="Arial" w:cs="Arial" w:eastAsia="Arial" w:hAnsi="Arial"/>
          <w:sz w:val="16"/>
          <w:szCs w:val="16"/>
          <w:color w:val="auto"/>
        </w:rPr>
      </w:pPr>
      <w:r>
        <w:rPr>
          <w:rFonts w:ascii="Arial" w:cs="Arial" w:eastAsia="Arial" w:hAnsi="Arial"/>
          <w:sz w:val="16"/>
          <w:szCs w:val="16"/>
          <w:b w:val="1"/>
          <w:bCs w:val="1"/>
          <w:color w:val="auto"/>
        </w:rPr>
        <w:t>Approval and Completion</w:t>
      </w:r>
      <w:r>
        <w:rPr>
          <w:rFonts w:ascii="Arial" w:cs="Arial" w:eastAsia="Arial" w:hAnsi="Arial"/>
          <w:sz w:val="16"/>
          <w:szCs w:val="16"/>
          <w:color w:val="auto"/>
        </w:rPr>
        <w:t>. It is hereby acknowledged by Landlord and Tenant that the TI Construction Drawings must be completed and approved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not later than the date reflected on the Construction Schedule, in order for the Landlord’s Work to be Substantially Complete by the Expansion Premises Rent Commencement Date (as defined in the Lease). Upon any dispute regarding the design of the Tenant Improvements, which is not settled within 10 business days after notice of such dispute is delivered by one party to the other, Tenant may make the final decision regarding the design of the Tenant Improvements, provided (i) Tenant acts reasonably and such final decision is either consistent with or a compromise between Landlord’s and Tenant’s positions with respect to such dispute, (ii) that all costs and expenses resulting from any such decision by Tenant shall be payable out of the TI Fund (as defined in </w:t>
      </w:r>
      <w:r>
        <w:rPr>
          <w:rFonts w:ascii="Arial" w:cs="Arial" w:eastAsia="Arial" w:hAnsi="Arial"/>
          <w:sz w:val="16"/>
          <w:szCs w:val="16"/>
          <w:u w:val="single" w:color="auto"/>
          <w:color w:val="auto"/>
        </w:rPr>
        <w:t>Section 5(d)</w:t>
      </w:r>
      <w:r>
        <w:rPr>
          <w:rFonts w:ascii="Arial" w:cs="Arial" w:eastAsia="Arial" w:hAnsi="Arial"/>
          <w:sz w:val="16"/>
          <w:szCs w:val="16"/>
          <w:color w:val="auto"/>
        </w:rPr>
        <w:t xml:space="preserve"> below), and (iii) Tenant’s decision will not affect the base Building, structural components of the Building or any Building Systems. Any changes to the TI Construction Drawings following Landlord’s and Tenant’s approval of same requested by Tenant shall be processed as provided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hereof.</w:t>
      </w:r>
    </w:p>
    <w:p>
      <w:pPr>
        <w:spacing w:after="0" w:line="160" w:lineRule="exact"/>
        <w:rPr>
          <w:sz w:val="20"/>
          <w:szCs w:val="20"/>
          <w:color w:val="auto"/>
        </w:rPr>
      </w:pPr>
    </w:p>
    <w:p>
      <w:pPr>
        <w:ind w:left="640" w:hanging="17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b w:val="1"/>
          <w:bCs w:val="1"/>
          <w:color w:val="auto"/>
        </w:rPr>
        <w:t>Performance of Landlord’s Work</w:t>
      </w:r>
      <w:r>
        <w:rPr>
          <w:rFonts w:ascii="Arial" w:cs="Arial" w:eastAsia="Arial" w:hAnsi="Arial"/>
          <w:sz w:val="18"/>
          <w:szCs w:val="18"/>
          <w:color w:val="auto"/>
        </w:rPr>
        <w:t>.</w:t>
      </w:r>
    </w:p>
    <w:p>
      <w:pPr>
        <w:spacing w:after="0" w:line="225" w:lineRule="exact"/>
        <w:rPr>
          <w:sz w:val="20"/>
          <w:szCs w:val="20"/>
          <w:color w:val="auto"/>
        </w:rPr>
      </w:pPr>
    </w:p>
    <w:p>
      <w:pPr>
        <w:ind w:right="160" w:firstLine="464"/>
        <w:spacing w:after="0" w:line="295" w:lineRule="auto"/>
        <w:tabs>
          <w:tab w:leader="none" w:pos="701" w:val="left"/>
        </w:tabs>
        <w:numPr>
          <w:ilvl w:val="0"/>
          <w:numId w:val="59"/>
        </w:numPr>
        <w:rPr>
          <w:rFonts w:ascii="Arial" w:cs="Arial" w:eastAsia="Arial" w:hAnsi="Arial"/>
          <w:sz w:val="16"/>
          <w:szCs w:val="16"/>
          <w:color w:val="auto"/>
        </w:rPr>
      </w:pPr>
      <w:r>
        <w:rPr>
          <w:rFonts w:ascii="Arial" w:cs="Arial" w:eastAsia="Arial" w:hAnsi="Arial"/>
          <w:sz w:val="16"/>
          <w:szCs w:val="16"/>
          <w:b w:val="1"/>
          <w:bCs w:val="1"/>
          <w:color w:val="auto"/>
        </w:rPr>
        <w:t>Commencement and Permitting</w:t>
      </w:r>
      <w:r>
        <w:rPr>
          <w:rFonts w:ascii="Arial" w:cs="Arial" w:eastAsia="Arial" w:hAnsi="Arial"/>
          <w:sz w:val="16"/>
          <w:szCs w:val="16"/>
          <w:color w:val="auto"/>
        </w:rPr>
        <w:t>. Landlord shall commence construction of the Tenant Improvements upon obtaining a building permit (the “</w:t>
      </w:r>
      <w:r>
        <w:rPr>
          <w:rFonts w:ascii="Arial" w:cs="Arial" w:eastAsia="Arial" w:hAnsi="Arial"/>
          <w:sz w:val="16"/>
          <w:szCs w:val="16"/>
          <w:b w:val="1"/>
          <w:bCs w:val="1"/>
          <w:color w:val="auto"/>
        </w:rPr>
        <w:t>TI Permit</w:t>
      </w:r>
      <w:r>
        <w:rPr>
          <w:rFonts w:ascii="Arial" w:cs="Arial" w:eastAsia="Arial" w:hAnsi="Arial"/>
          <w:sz w:val="16"/>
          <w:szCs w:val="16"/>
          <w:color w:val="auto"/>
        </w:rPr>
        <w:t>”) authorizing the construction of the Tenant Improvements consistent with the TI Construction Drawings approved by Tenant. The cost of obtaining</w:t>
      </w:r>
      <w:r>
        <w:rPr>
          <w:rFonts w:ascii="Arial" w:cs="Arial" w:eastAsia="Arial" w:hAnsi="Arial"/>
          <w:sz w:val="16"/>
          <w:szCs w:val="16"/>
          <w:b w:val="1"/>
          <w:bCs w:val="1"/>
          <w:color w:val="auto"/>
        </w:rPr>
        <w:t xml:space="preserve"> </w:t>
      </w:r>
      <w:r>
        <w:rPr>
          <w:rFonts w:ascii="Arial" w:cs="Arial" w:eastAsia="Arial" w:hAnsi="Arial"/>
          <w:sz w:val="16"/>
          <w:szCs w:val="16"/>
          <w:color w:val="auto"/>
        </w:rPr>
        <w:t>the TI Permit shall be payable from the TI Fund. Tenant shall assist Landlord in obtaining the TI Permit. If any Governmental Authority having jurisdiction over the construction of Landlord’s Work or any portion thereof shall impose terms or conditions upon the construction thereof that: (i) are inconsistent with Landlord’s obligations hereunder, (ii) increase the cost of constructing Landlord’s Work, or (iii) will materially delay the construction of Landlord’s Work, Landlord and Tenant shall reasonably and in good faith seek means by which to mitigate or eliminate any such adverse terms and conditions.</w:t>
      </w:r>
    </w:p>
    <w:p>
      <w:pPr>
        <w:spacing w:after="0" w:line="155" w:lineRule="exact"/>
        <w:rPr>
          <w:rFonts w:ascii="Arial" w:cs="Arial" w:eastAsia="Arial" w:hAnsi="Arial"/>
          <w:sz w:val="16"/>
          <w:szCs w:val="16"/>
          <w:color w:val="auto"/>
        </w:rPr>
      </w:pPr>
    </w:p>
    <w:p>
      <w:pPr>
        <w:ind w:right="320" w:firstLine="464"/>
        <w:spacing w:after="0" w:line="282" w:lineRule="auto"/>
        <w:tabs>
          <w:tab w:leader="none" w:pos="711" w:val="left"/>
        </w:tabs>
        <w:numPr>
          <w:ilvl w:val="0"/>
          <w:numId w:val="59"/>
        </w:numPr>
        <w:rPr>
          <w:rFonts w:ascii="Arial" w:cs="Arial" w:eastAsia="Arial" w:hAnsi="Arial"/>
          <w:sz w:val="18"/>
          <w:szCs w:val="18"/>
          <w:color w:val="auto"/>
        </w:rPr>
      </w:pPr>
      <w:r>
        <w:rPr>
          <w:rFonts w:ascii="Arial" w:cs="Arial" w:eastAsia="Arial" w:hAnsi="Arial"/>
          <w:sz w:val="18"/>
          <w:szCs w:val="18"/>
          <w:b w:val="1"/>
          <w:bCs w:val="1"/>
          <w:color w:val="auto"/>
        </w:rPr>
        <w:t>Completion of Landlord’s Work</w:t>
      </w:r>
      <w:r>
        <w:rPr>
          <w:rFonts w:ascii="Arial" w:cs="Arial" w:eastAsia="Arial" w:hAnsi="Arial"/>
          <w:sz w:val="18"/>
          <w:szCs w:val="18"/>
          <w:color w:val="auto"/>
        </w:rPr>
        <w:t>. Landlord shall substantially complete or cause to be substantially completed (x) the Tenant Improvements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TI Permit, and (y) the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71755</wp:posOffset>
            </wp:positionV>
            <wp:extent cx="2641600" cy="3517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4160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274" w:right="239" w:bottom="1440" w:gutter="0" w:footer="0" w:header="0"/>
        </w:sectPr>
      </w:pPr>
    </w:p>
    <w:bookmarkStart w:id="70" w:name="page71"/>
    <w:bookmarkEnd w:id="70"/>
    <w:p>
      <w:pPr>
        <w:ind w:right="1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Building Improvements, all in compliance with applicable Legal Requirements, and in a good and workmanlike manner subject, in each case, to Minor Variations and normal “punch list” items of a non-material nature that do not interfere with Tenant’s use of the Expansion Premises or the Original Premises and, to the extent required by applicable Legal Requirements with respect to the occupancy of the Expansion Premises or the Original Premises by Tenant, with a certificate or temporary certificate of occupancy (or an equivalent approval having been issued) for the Expansion Premises or Original Premises, as applicable, permitting lawful occupancy of the Expansion Premises or the Original Premises, as applicable, as improved by Landlord’s Work (“</w:t>
      </w:r>
      <w:r>
        <w:rPr>
          <w:rFonts w:ascii="Arial" w:cs="Arial" w:eastAsia="Arial" w:hAnsi="Arial"/>
          <w:sz w:val="16"/>
          <w:szCs w:val="16"/>
          <w:b w:val="1"/>
          <w:bCs w:val="1"/>
          <w:color w:val="auto"/>
        </w:rPr>
        <w:t>Substantial</w:t>
      </w:r>
      <w:r>
        <w:rPr>
          <w:rFonts w:ascii="Arial" w:cs="Arial" w:eastAsia="Arial" w:hAnsi="Arial"/>
          <w:sz w:val="16"/>
          <w:szCs w:val="16"/>
          <w:color w:val="auto"/>
        </w:rPr>
        <w:t xml:space="preserve"> </w:t>
      </w:r>
      <w:r>
        <w:rPr>
          <w:rFonts w:ascii="Arial" w:cs="Arial" w:eastAsia="Arial" w:hAnsi="Arial"/>
          <w:sz w:val="16"/>
          <w:szCs w:val="16"/>
          <w:b w:val="1"/>
          <w:bCs w:val="1"/>
          <w:color w:val="auto"/>
        </w:rPr>
        <w:t>Completion</w:t>
      </w:r>
      <w:r>
        <w:rPr>
          <w:rFonts w:ascii="Arial" w:cs="Arial" w:eastAsia="Arial" w:hAnsi="Arial"/>
          <w:sz w:val="16"/>
          <w:szCs w:val="16"/>
          <w:color w:val="auto"/>
        </w:rPr>
        <w:t>” or “</w:t>
      </w:r>
      <w:r>
        <w:rPr>
          <w:rFonts w:ascii="Arial" w:cs="Arial" w:eastAsia="Arial" w:hAnsi="Arial"/>
          <w:sz w:val="16"/>
          <w:szCs w:val="16"/>
          <w:b w:val="1"/>
          <w:bCs w:val="1"/>
          <w:color w:val="auto"/>
        </w:rPr>
        <w:t>Substantially Complete</w:t>
      </w:r>
      <w:r>
        <w:rPr>
          <w:rFonts w:ascii="Arial" w:cs="Arial" w:eastAsia="Arial" w:hAnsi="Arial"/>
          <w:sz w:val="16"/>
          <w:szCs w:val="16"/>
          <w:color w:val="auto"/>
        </w:rPr>
        <w:t>”). Upon Substantial Completion of Landlord’s Work, Landlord shall require the TI Architect and the general</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contractor to execute and deliver, for the benefit of Tenant and Landlord, a Certificate of Substantial Completion in the form of the American Institute of Architects (“</w:t>
      </w:r>
      <w:r>
        <w:rPr>
          <w:rFonts w:ascii="Arial" w:cs="Arial" w:eastAsia="Arial" w:hAnsi="Arial"/>
          <w:sz w:val="16"/>
          <w:szCs w:val="16"/>
          <w:b w:val="1"/>
          <w:bCs w:val="1"/>
          <w:color w:val="auto"/>
        </w:rPr>
        <w:t>AIA</w:t>
      </w:r>
      <w:r>
        <w:rPr>
          <w:rFonts w:ascii="Arial" w:cs="Arial" w:eastAsia="Arial" w:hAnsi="Arial"/>
          <w:sz w:val="16"/>
          <w:szCs w:val="16"/>
          <w:color w:val="auto"/>
        </w:rPr>
        <w:t>”) document G704. For purposes of this Work Letter, “</w:t>
      </w:r>
      <w:r>
        <w:rPr>
          <w:rFonts w:ascii="Arial" w:cs="Arial" w:eastAsia="Arial" w:hAnsi="Arial"/>
          <w:sz w:val="16"/>
          <w:szCs w:val="16"/>
          <w:b w:val="1"/>
          <w:bCs w:val="1"/>
          <w:color w:val="auto"/>
        </w:rPr>
        <w:t>Minor Variations</w:t>
      </w:r>
      <w:r>
        <w:rPr>
          <w:rFonts w:ascii="Arial" w:cs="Arial" w:eastAsia="Arial" w:hAnsi="Arial"/>
          <w:sz w:val="16"/>
          <w:szCs w:val="16"/>
          <w:color w:val="auto"/>
        </w:rPr>
        <w:t>” shall mean any modifications reasonably required: (i) to comply with all applicable Legal Requirements and/or to obtain or to comply with any required permit (including the TI Permit); (ii) to comply with any request by Tenant for modifications to the Tenant Improvements; (iii) to comport with good design, engineering, and construction practices; or (iv) to make reasonable adjustments for field deviations or conditions encountered during the construction of Landlord’s Work.</w:t>
      </w:r>
    </w:p>
    <w:p>
      <w:pPr>
        <w:spacing w:after="0" w:line="169" w:lineRule="exact"/>
        <w:rPr>
          <w:sz w:val="20"/>
          <w:szCs w:val="20"/>
          <w:color w:val="auto"/>
        </w:rPr>
      </w:pPr>
    </w:p>
    <w:p>
      <w:pPr>
        <w:jc w:val="both"/>
        <w:ind w:firstLine="464"/>
        <w:spacing w:after="0" w:line="261" w:lineRule="auto"/>
        <w:tabs>
          <w:tab w:leader="none" w:pos="701" w:val="left"/>
        </w:tabs>
        <w:numPr>
          <w:ilvl w:val="0"/>
          <w:numId w:val="60"/>
        </w:numPr>
        <w:rPr>
          <w:rFonts w:ascii="Arial" w:cs="Arial" w:eastAsia="Arial" w:hAnsi="Arial"/>
          <w:sz w:val="18"/>
          <w:szCs w:val="18"/>
          <w:color w:val="auto"/>
        </w:rPr>
      </w:pPr>
      <w:r>
        <w:rPr>
          <w:rFonts w:ascii="Arial" w:cs="Arial" w:eastAsia="Arial" w:hAnsi="Arial"/>
          <w:sz w:val="18"/>
          <w:szCs w:val="18"/>
          <w:b w:val="1"/>
          <w:bCs w:val="1"/>
          <w:color w:val="auto"/>
        </w:rPr>
        <w:t>Selection of Materials</w:t>
      </w:r>
      <w:r>
        <w:rPr>
          <w:rFonts w:ascii="Arial" w:cs="Arial" w:eastAsia="Arial" w:hAnsi="Arial"/>
          <w:sz w:val="18"/>
          <w:szCs w:val="18"/>
          <w:color w:val="auto"/>
        </w:rPr>
        <w:t>. Where more than one type of material or structure is indicated on the TI Construction Drawings approved by Landlord and</w:t>
      </w:r>
      <w:r>
        <w:rPr>
          <w:rFonts w:ascii="Arial" w:cs="Arial" w:eastAsia="Arial" w:hAnsi="Arial"/>
          <w:sz w:val="18"/>
          <w:szCs w:val="18"/>
          <w:b w:val="1"/>
          <w:bCs w:val="1"/>
          <w:color w:val="auto"/>
        </w:rPr>
        <w:t xml:space="preserve"> </w:t>
      </w:r>
      <w:r>
        <w:rPr>
          <w:rFonts w:ascii="Arial" w:cs="Arial" w:eastAsia="Arial" w:hAnsi="Arial"/>
          <w:sz w:val="18"/>
          <w:szCs w:val="18"/>
          <w:color w:val="auto"/>
        </w:rPr>
        <w:t>Tenant, the option will be selected at Landlord’s reasonable discretion. As to all building materials and equipment that Landlord is obligated to supply under this Work Letter, Landlord shall select the manufacturer thereof in its sole and absolute discretion, to the extent that the manufacturer is not specified in the TI Construction Drawings.</w:t>
      </w:r>
    </w:p>
    <w:p>
      <w:pPr>
        <w:spacing w:after="0" w:line="180" w:lineRule="exact"/>
        <w:rPr>
          <w:rFonts w:ascii="Arial" w:cs="Arial" w:eastAsia="Arial" w:hAnsi="Arial"/>
          <w:sz w:val="18"/>
          <w:szCs w:val="18"/>
          <w:color w:val="auto"/>
        </w:rPr>
      </w:pPr>
    </w:p>
    <w:p>
      <w:pPr>
        <w:ind w:firstLine="464"/>
        <w:spacing w:after="0" w:line="270" w:lineRule="auto"/>
        <w:tabs>
          <w:tab w:leader="none" w:pos="711" w:val="left"/>
        </w:tabs>
        <w:numPr>
          <w:ilvl w:val="0"/>
          <w:numId w:val="60"/>
        </w:numPr>
        <w:rPr>
          <w:rFonts w:ascii="Arial" w:cs="Arial" w:eastAsia="Arial" w:hAnsi="Arial"/>
          <w:sz w:val="17"/>
          <w:szCs w:val="17"/>
          <w:color w:val="auto"/>
        </w:rPr>
      </w:pPr>
      <w:r>
        <w:rPr>
          <w:rFonts w:ascii="Arial" w:cs="Arial" w:eastAsia="Arial" w:hAnsi="Arial"/>
          <w:sz w:val="17"/>
          <w:szCs w:val="17"/>
          <w:b w:val="1"/>
          <w:bCs w:val="1"/>
          <w:color w:val="auto"/>
        </w:rPr>
        <w:t>Delivery of the Landlord’s Work</w:t>
      </w:r>
      <w:r>
        <w:rPr>
          <w:rFonts w:ascii="Arial" w:cs="Arial" w:eastAsia="Arial" w:hAnsi="Arial"/>
          <w:sz w:val="17"/>
          <w:szCs w:val="17"/>
          <w:color w:val="auto"/>
        </w:rPr>
        <w:t>. When Landlord’s Work is Substantially Complete, subject to the remaining terms and provisions of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3(d)</w:t>
      </w:r>
      <w:r>
        <w:rPr>
          <w:rFonts w:ascii="Arial" w:cs="Arial" w:eastAsia="Arial" w:hAnsi="Arial"/>
          <w:sz w:val="17"/>
          <w:szCs w:val="17"/>
          <w:color w:val="auto"/>
        </w:rPr>
        <w:t>, Tenant shall accept Landlord’s Work. Tenant’s acceptance of Landlord’s Work shall not constitute a waiver of: (i) any warranty with respect to workmanship (including installation of equipment) or material (exclusive of equipment provided directly by manufacturers), (ii) any non-compliance of Landlord’s Work with applicable Legal Requirements, or (iii) any claim that the Tenant Improvements were not completed substantially in accordance with the TI Construction Drawings (subject to Minor Variations and such other changes as are permitted hereunder) (collectively, a “</w:t>
      </w:r>
      <w:r>
        <w:rPr>
          <w:rFonts w:ascii="Arial" w:cs="Arial" w:eastAsia="Arial" w:hAnsi="Arial"/>
          <w:sz w:val="17"/>
          <w:szCs w:val="17"/>
          <w:b w:val="1"/>
          <w:bCs w:val="1"/>
          <w:color w:val="auto"/>
        </w:rPr>
        <w:t>Construction Defect</w:t>
      </w:r>
      <w:r>
        <w:rPr>
          <w:rFonts w:ascii="Arial" w:cs="Arial" w:eastAsia="Arial" w:hAnsi="Arial"/>
          <w:sz w:val="17"/>
          <w:szCs w:val="17"/>
          <w:color w:val="auto"/>
        </w:rPr>
        <w:t>”). Tenant shall have one year after Substantial Completion within which to notify Landlord of any such Construction Defect discovered by Tenant, and Landlord shall use reasonable efforts to remedy or cause the responsible contractor to remedy any such Construction Defect within 30 days thereafter. Notwithstanding the foregoing, Landlord shall not be in default under the Lease if the applicable contractor, despite Landlord’s reasonable efforts, fails to remedy such Construction Defect within such 30-day period. If the contractor fails to remedy such Construction Defect within a reasonable time, Landlord shall continue to use reasonable efforts to remedy the Construction Defect within a reasonable period.</w:t>
      </w:r>
    </w:p>
    <w:p>
      <w:pPr>
        <w:spacing w:after="0" w:line="182"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Tenant shall be entitled to receive the benefit of all construction warranties and manufacturer’s equipment warranties relating to equipment installed in the Expansion Premises or the Original Premises. If requested by Tenant, Landlord shall attempt to obtain extended warranties from manufacturers and suppliers of such equipment, but the cost of any such extended warranties shall be borne solely out of the TI Fund. Landlord shall promptly undertake and complete, or cause to be completed, all punch list items. Landlord shall endeavor to complete all punch list items and Minor Variations within 60 days after Substantial Completion.</w:t>
      </w:r>
    </w:p>
    <w:p>
      <w:pPr>
        <w:spacing w:after="0" w:line="184" w:lineRule="exact"/>
        <w:rPr>
          <w:sz w:val="20"/>
          <w:szCs w:val="20"/>
          <w:color w:val="auto"/>
        </w:rPr>
      </w:pPr>
    </w:p>
    <w:p>
      <w:pPr>
        <w:ind w:right="240" w:firstLine="464"/>
        <w:spacing w:after="0" w:line="266" w:lineRule="auto"/>
        <w:tabs>
          <w:tab w:leader="none" w:pos="636" w:val="left"/>
        </w:tabs>
        <w:numPr>
          <w:ilvl w:val="0"/>
          <w:numId w:val="61"/>
        </w:numPr>
        <w:rPr>
          <w:rFonts w:ascii="Arial" w:cs="Arial" w:eastAsia="Arial" w:hAnsi="Arial"/>
          <w:sz w:val="18"/>
          <w:szCs w:val="18"/>
          <w:color w:val="auto"/>
        </w:rPr>
      </w:pPr>
      <w:r>
        <w:rPr>
          <w:rFonts w:ascii="Arial" w:cs="Arial" w:eastAsia="Arial" w:hAnsi="Arial"/>
          <w:sz w:val="18"/>
          <w:szCs w:val="18"/>
          <w:b w:val="1"/>
          <w:bCs w:val="1"/>
          <w:color w:val="auto"/>
        </w:rPr>
        <w:t>Changes</w:t>
      </w:r>
      <w:r>
        <w:rPr>
          <w:rFonts w:ascii="Arial" w:cs="Arial" w:eastAsia="Arial" w:hAnsi="Arial"/>
          <w:sz w:val="18"/>
          <w:szCs w:val="18"/>
          <w:color w:val="auto"/>
        </w:rPr>
        <w:t>. Any changes requested by Tenant to the Tenant Improvements and the Base Building Improvements shall be requested and instituted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accordance with the provisions of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and shall be subject to the written approval of Landlord and the TI Architect, such approval not to be unreasonably withheld, conditioned or delayed.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80645</wp:posOffset>
            </wp:positionV>
            <wp:extent cx="2641600" cy="3517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64160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00"/>
          </w:cols>
          <w:pgMar w:left="240" w:top="274" w:right="259" w:bottom="1440" w:gutter="0" w:footer="0" w:header="0"/>
        </w:sectPr>
      </w:pPr>
    </w:p>
    <w:bookmarkStart w:id="71" w:name="page72"/>
    <w:bookmarkEnd w:id="71"/>
    <w:p>
      <w:pPr>
        <w:ind w:right="160" w:firstLine="464"/>
        <w:spacing w:after="0" w:line="270" w:lineRule="auto"/>
        <w:tabs>
          <w:tab w:leader="none" w:pos="701" w:val="left"/>
        </w:tabs>
        <w:numPr>
          <w:ilvl w:val="0"/>
          <w:numId w:val="62"/>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Tenant’s Request For Changes</w:t>
      </w:r>
      <w:r>
        <w:rPr>
          <w:rFonts w:ascii="Arial" w:cs="Arial" w:eastAsia="Arial" w:hAnsi="Arial"/>
          <w:sz w:val="17"/>
          <w:szCs w:val="17"/>
          <w:color w:val="auto"/>
        </w:rPr>
        <w:t>. If Tenant shall request changes to the Tenant Improvements or the Base Building Improvements (“</w:t>
      </w:r>
      <w:r>
        <w:rPr>
          <w:rFonts w:ascii="Arial" w:cs="Arial" w:eastAsia="Arial" w:hAnsi="Arial"/>
          <w:sz w:val="17"/>
          <w:szCs w:val="17"/>
          <w:b w:val="1"/>
          <w:bCs w:val="1"/>
          <w:color w:val="auto"/>
        </w:rPr>
        <w:t>Changes</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Tenant shall request such Changes by notifying Landlord in writing in substantially the same form as the AIA standard change order form (a “</w:t>
      </w:r>
      <w:r>
        <w:rPr>
          <w:rFonts w:ascii="Arial" w:cs="Arial" w:eastAsia="Arial" w:hAnsi="Arial"/>
          <w:sz w:val="17"/>
          <w:szCs w:val="17"/>
          <w:b w:val="1"/>
          <w:bCs w:val="1"/>
          <w:color w:val="auto"/>
        </w:rPr>
        <w:t>Change</w:t>
      </w:r>
      <w:r>
        <w:rPr>
          <w:rFonts w:ascii="Arial" w:cs="Arial" w:eastAsia="Arial" w:hAnsi="Arial"/>
          <w:sz w:val="17"/>
          <w:szCs w:val="17"/>
          <w:color w:val="auto"/>
        </w:rPr>
        <w:t xml:space="preserve"> </w:t>
      </w:r>
      <w:r>
        <w:rPr>
          <w:rFonts w:ascii="Arial" w:cs="Arial" w:eastAsia="Arial" w:hAnsi="Arial"/>
          <w:sz w:val="17"/>
          <w:szCs w:val="17"/>
          <w:b w:val="1"/>
          <w:bCs w:val="1"/>
          <w:color w:val="auto"/>
        </w:rPr>
        <w:t>Request</w:t>
      </w:r>
      <w:r>
        <w:rPr>
          <w:rFonts w:ascii="Arial" w:cs="Arial" w:eastAsia="Arial" w:hAnsi="Arial"/>
          <w:sz w:val="17"/>
          <w:szCs w:val="17"/>
          <w:color w:val="auto"/>
        </w:rPr>
        <w:t>”), which Change Request shall detail the nature and extent of any such Change. Such Change Request must be signed by Tenant’s Representative.</w:t>
      </w:r>
      <w:r>
        <w:rPr>
          <w:rFonts w:ascii="Arial" w:cs="Arial" w:eastAsia="Arial" w:hAnsi="Arial"/>
          <w:sz w:val="17"/>
          <w:szCs w:val="17"/>
          <w:b w:val="1"/>
          <w:bCs w:val="1"/>
          <w:color w:val="auto"/>
        </w:rPr>
        <w:t xml:space="preserve"> </w:t>
      </w:r>
      <w:r>
        <w:rPr>
          <w:rFonts w:ascii="Arial" w:cs="Arial" w:eastAsia="Arial" w:hAnsi="Arial"/>
          <w:sz w:val="17"/>
          <w:szCs w:val="17"/>
          <w:color w:val="auto"/>
        </w:rPr>
        <w:t>Landlord shall, before proceeding with any Change, use commercially reasonable efforts to respond to Tenant as soon as is reasonably possible with an estimate of: (i) the time it will take, and (ii) the architectural and engineering fees and costs that will be incurred, to analyze such Change Request (which costs shall be paid from the TI Fund or the BB Fund, as applicable, to the extent actually incurred, whether or not such change is implemented). Landlord shall thereafter submit to Tenant in writing, within 5 business days of receipt of the Change Request (or such longer period of time as is reasonably required depending on the extent of the Change Request), an analysis of the additional cost or savings involved, including, without limitation, architectural and engineering costs and the period of time, if any, that the Change will extend the date on which Landlord’s Work will be Substantially Complete. Any such delay in the completion of Landlord’s Work caused by a Change, including any suspension of Landlord’s Work while any such Change is being evaluated and/or designed, shall be a delay caused by Tenant.</w:t>
      </w:r>
    </w:p>
    <w:p>
      <w:pPr>
        <w:spacing w:after="0" w:line="174" w:lineRule="exact"/>
        <w:rPr>
          <w:rFonts w:ascii="Arial" w:cs="Arial" w:eastAsia="Arial" w:hAnsi="Arial"/>
          <w:sz w:val="17"/>
          <w:szCs w:val="17"/>
          <w:color w:val="auto"/>
        </w:rPr>
      </w:pPr>
    </w:p>
    <w:p>
      <w:pPr>
        <w:ind w:firstLine="464"/>
        <w:spacing w:after="0" w:line="261" w:lineRule="auto"/>
        <w:tabs>
          <w:tab w:leader="none" w:pos="711" w:val="left"/>
        </w:tabs>
        <w:numPr>
          <w:ilvl w:val="0"/>
          <w:numId w:val="62"/>
        </w:numPr>
        <w:rPr>
          <w:rFonts w:ascii="Arial" w:cs="Arial" w:eastAsia="Arial" w:hAnsi="Arial"/>
          <w:sz w:val="18"/>
          <w:szCs w:val="18"/>
          <w:color w:val="auto"/>
        </w:rPr>
      </w:pPr>
      <w:r>
        <w:rPr>
          <w:rFonts w:ascii="Arial" w:cs="Arial" w:eastAsia="Arial" w:hAnsi="Arial"/>
          <w:sz w:val="18"/>
          <w:szCs w:val="18"/>
          <w:b w:val="1"/>
          <w:bCs w:val="1"/>
          <w:color w:val="auto"/>
        </w:rPr>
        <w:t>Implementation of Changes</w:t>
      </w:r>
      <w:r>
        <w:rPr>
          <w:rFonts w:ascii="Arial" w:cs="Arial" w:eastAsia="Arial" w:hAnsi="Arial"/>
          <w:sz w:val="18"/>
          <w:szCs w:val="18"/>
          <w:color w:val="auto"/>
        </w:rPr>
        <w:t>. If Tenant approves in writing the cost or savings and the estimated extension in the time for completion of Landlord’s</w:t>
      </w:r>
      <w:r>
        <w:rPr>
          <w:rFonts w:ascii="Arial" w:cs="Arial" w:eastAsia="Arial" w:hAnsi="Arial"/>
          <w:sz w:val="18"/>
          <w:szCs w:val="18"/>
          <w:b w:val="1"/>
          <w:bCs w:val="1"/>
          <w:color w:val="auto"/>
        </w:rPr>
        <w:t xml:space="preserve"> </w:t>
      </w:r>
      <w:r>
        <w:rPr>
          <w:rFonts w:ascii="Arial" w:cs="Arial" w:eastAsia="Arial" w:hAnsi="Arial"/>
          <w:sz w:val="18"/>
          <w:szCs w:val="18"/>
          <w:color w:val="auto"/>
        </w:rPr>
        <w:t>Work, if any, Landlord shall cause the approved Change to be instituted. Notwithstanding any approval or disapproval by Tenant of any estimate of the delay caused by such proposed Change, the TI Architect’s good faith reasonable determination of the amount of delay caused by Tenant in connection with such Change shall be final and binding on Landlord and Tenant.</w:t>
      </w:r>
    </w:p>
    <w:p>
      <w:pPr>
        <w:spacing w:after="0" w:line="180" w:lineRule="exact"/>
        <w:rPr>
          <w:sz w:val="20"/>
          <w:szCs w:val="20"/>
          <w:color w:val="auto"/>
        </w:rPr>
      </w:pPr>
    </w:p>
    <w:p>
      <w:pPr>
        <w:ind w:left="640" w:hanging="176"/>
        <w:spacing w:after="0"/>
        <w:tabs>
          <w:tab w:leader="none" w:pos="640" w:val="left"/>
        </w:tabs>
        <w:numPr>
          <w:ilvl w:val="0"/>
          <w:numId w:val="63"/>
        </w:numPr>
        <w:rPr>
          <w:rFonts w:ascii="Arial" w:cs="Arial" w:eastAsia="Arial" w:hAnsi="Arial"/>
          <w:sz w:val="18"/>
          <w:szCs w:val="18"/>
          <w:color w:val="auto"/>
        </w:rPr>
      </w:pPr>
      <w:r>
        <w:rPr>
          <w:rFonts w:ascii="Arial" w:cs="Arial" w:eastAsia="Arial" w:hAnsi="Arial"/>
          <w:sz w:val="18"/>
          <w:szCs w:val="18"/>
          <w:b w:val="1"/>
          <w:bCs w:val="1"/>
          <w:color w:val="auto"/>
        </w:rPr>
        <w:t>Costs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56" w:lineRule="auto"/>
        <w:tabs>
          <w:tab w:leader="none" w:pos="701" w:val="left"/>
        </w:tabs>
        <w:numPr>
          <w:ilvl w:val="0"/>
          <w:numId w:val="64"/>
        </w:numPr>
        <w:rPr>
          <w:rFonts w:ascii="Arial" w:cs="Arial" w:eastAsia="Arial" w:hAnsi="Arial"/>
          <w:sz w:val="18"/>
          <w:szCs w:val="18"/>
          <w:color w:val="auto"/>
        </w:rPr>
      </w:pPr>
      <w:r>
        <w:rPr>
          <w:rFonts w:ascii="Arial" w:cs="Arial" w:eastAsia="Arial" w:hAnsi="Arial"/>
          <w:sz w:val="18"/>
          <w:szCs w:val="18"/>
          <w:b w:val="1"/>
          <w:bCs w:val="1"/>
          <w:color w:val="auto"/>
        </w:rPr>
        <w:t>Budget For Tenant Improvements</w:t>
      </w:r>
      <w:r>
        <w:rPr>
          <w:rFonts w:ascii="Arial" w:cs="Arial" w:eastAsia="Arial" w:hAnsi="Arial"/>
          <w:sz w:val="18"/>
          <w:szCs w:val="18"/>
          <w:color w:val="auto"/>
        </w:rPr>
        <w:t>. The section of the budget attached hereto as</w:t>
      </w:r>
      <w:r>
        <w:rPr>
          <w:rFonts w:ascii="Arial" w:cs="Arial" w:eastAsia="Arial" w:hAnsi="Arial"/>
          <w:sz w:val="18"/>
          <w:szCs w:val="18"/>
          <w:b w:val="1"/>
          <w:bCs w:val="1"/>
          <w:color w:val="auto"/>
        </w:rPr>
        <w:t xml:space="preserve"> Schedule 4 </w:t>
      </w:r>
      <w:r>
        <w:rPr>
          <w:rFonts w:ascii="Arial" w:cs="Arial" w:eastAsia="Arial" w:hAnsi="Arial"/>
          <w:sz w:val="18"/>
          <w:szCs w:val="18"/>
          <w:color w:val="auto"/>
        </w:rPr>
        <w:t>(the “</w:t>
      </w:r>
      <w:r>
        <w:rPr>
          <w:rFonts w:ascii="Arial" w:cs="Arial" w:eastAsia="Arial" w:hAnsi="Arial"/>
          <w:sz w:val="18"/>
          <w:szCs w:val="18"/>
          <w:b w:val="1"/>
          <w:bCs w:val="1"/>
          <w:color w:val="auto"/>
        </w:rPr>
        <w:t>Budget</w:t>
      </w:r>
      <w:r>
        <w:rPr>
          <w:rFonts w:ascii="Arial" w:cs="Arial" w:eastAsia="Arial" w:hAnsi="Arial"/>
          <w:sz w:val="18"/>
          <w:szCs w:val="18"/>
          <w:color w:val="auto"/>
        </w:rPr>
        <w:t>”) entitled “Base Building Infrastructure</w:t>
      </w:r>
      <w:r>
        <w:rPr>
          <w:rFonts w:ascii="Arial" w:cs="Arial" w:eastAsia="Arial" w:hAnsi="Arial"/>
          <w:sz w:val="18"/>
          <w:szCs w:val="18"/>
          <w:b w:val="1"/>
          <w:bCs w:val="1"/>
          <w:color w:val="auto"/>
        </w:rPr>
        <w:t xml:space="preserve"> </w:t>
      </w:r>
      <w:r>
        <w:rPr>
          <w:rFonts w:ascii="Arial" w:cs="Arial" w:eastAsia="Arial" w:hAnsi="Arial"/>
          <w:sz w:val="18"/>
          <w:szCs w:val="18"/>
          <w:color w:val="auto"/>
        </w:rPr>
        <w:t>Upgrades” is based upon the Scope of Work for the Base Building Improvements (the “</w:t>
      </w:r>
      <w:r>
        <w:rPr>
          <w:rFonts w:ascii="Arial" w:cs="Arial" w:eastAsia="Arial" w:hAnsi="Arial"/>
          <w:sz w:val="18"/>
          <w:szCs w:val="18"/>
          <w:b w:val="1"/>
          <w:bCs w:val="1"/>
          <w:color w:val="auto"/>
        </w:rPr>
        <w:t>Base Building Improvements Budget</w:t>
      </w:r>
      <w:r>
        <w:rPr>
          <w:rFonts w:ascii="Arial" w:cs="Arial" w:eastAsia="Arial" w:hAnsi="Arial"/>
          <w:sz w:val="18"/>
          <w:szCs w:val="18"/>
          <w:color w:val="auto"/>
        </w:rPr>
        <w:t>”) and the section of the Budget entitled “Enanta Lab Tenant Improvements” is based upon the Space Plan for the Tenant Improvements (the “</w:t>
      </w:r>
      <w:r>
        <w:rPr>
          <w:rFonts w:ascii="Arial" w:cs="Arial" w:eastAsia="Arial" w:hAnsi="Arial"/>
          <w:sz w:val="18"/>
          <w:szCs w:val="18"/>
          <w:b w:val="1"/>
          <w:bCs w:val="1"/>
          <w:color w:val="auto"/>
        </w:rPr>
        <w:t>TI Budget</w:t>
      </w:r>
      <w:r>
        <w:rPr>
          <w:rFonts w:ascii="Arial" w:cs="Arial" w:eastAsia="Arial" w:hAnsi="Arial"/>
          <w:sz w:val="18"/>
          <w:szCs w:val="18"/>
          <w:color w:val="auto"/>
        </w:rPr>
        <w:t>”). The Budget has been approved by Landlord and Tenant. The Budget shall include a payment to Landlord of administrative rent (“</w:t>
      </w:r>
      <w:r>
        <w:rPr>
          <w:rFonts w:ascii="Arial" w:cs="Arial" w:eastAsia="Arial" w:hAnsi="Arial"/>
          <w:sz w:val="18"/>
          <w:szCs w:val="18"/>
          <w:b w:val="1"/>
          <w:bCs w:val="1"/>
          <w:color w:val="auto"/>
        </w:rPr>
        <w:t>Administrative Rent</w:t>
      </w:r>
      <w:r>
        <w:rPr>
          <w:rFonts w:ascii="Arial" w:cs="Arial" w:eastAsia="Arial" w:hAnsi="Arial"/>
          <w:sz w:val="18"/>
          <w:szCs w:val="18"/>
          <w:color w:val="auto"/>
        </w:rPr>
        <w:t xml:space="preserve">”) equal to 2% of the TI Costs for providing project management services for the construction of the Tenant Improvements and Changes, which sum shall be payable from the TI Fund and the BB Fund (as defined in </w:t>
      </w:r>
      <w:r>
        <w:rPr>
          <w:rFonts w:ascii="Arial" w:cs="Arial" w:eastAsia="Arial" w:hAnsi="Arial"/>
          <w:sz w:val="18"/>
          <w:szCs w:val="18"/>
          <w:u w:val="single" w:color="auto"/>
          <w:color w:val="auto"/>
        </w:rPr>
        <w:t>Section 5(d))</w:t>
      </w:r>
      <w:r>
        <w:rPr>
          <w:rFonts w:ascii="Arial" w:cs="Arial" w:eastAsia="Arial" w:hAnsi="Arial"/>
          <w:sz w:val="18"/>
          <w:szCs w:val="18"/>
          <w:color w:val="auto"/>
        </w:rPr>
        <w:t>.</w:t>
      </w:r>
    </w:p>
    <w:p>
      <w:pPr>
        <w:spacing w:after="0" w:line="187" w:lineRule="exact"/>
        <w:rPr>
          <w:rFonts w:ascii="Arial" w:cs="Arial" w:eastAsia="Arial" w:hAnsi="Arial"/>
          <w:sz w:val="18"/>
          <w:szCs w:val="18"/>
          <w:color w:val="auto"/>
        </w:rPr>
      </w:pPr>
    </w:p>
    <w:p>
      <w:pPr>
        <w:ind w:left="720" w:hanging="256"/>
        <w:spacing w:after="0"/>
        <w:tabs>
          <w:tab w:leader="none" w:pos="720" w:val="left"/>
        </w:tabs>
        <w:numPr>
          <w:ilvl w:val="0"/>
          <w:numId w:val="64"/>
        </w:numPr>
        <w:rPr>
          <w:rFonts w:ascii="Arial" w:cs="Arial" w:eastAsia="Arial" w:hAnsi="Arial"/>
          <w:sz w:val="16"/>
          <w:szCs w:val="16"/>
          <w:color w:val="auto"/>
        </w:rPr>
      </w:pPr>
      <w:r>
        <w:rPr>
          <w:rFonts w:ascii="Arial" w:cs="Arial" w:eastAsia="Arial" w:hAnsi="Arial"/>
          <w:sz w:val="16"/>
          <w:szCs w:val="16"/>
          <w:b w:val="1"/>
          <w:bCs w:val="1"/>
          <w:color w:val="auto"/>
        </w:rPr>
        <w:t>Improvements Allowance</w:t>
      </w:r>
      <w:r>
        <w:rPr>
          <w:rFonts w:ascii="Arial" w:cs="Arial" w:eastAsia="Arial" w:hAnsi="Arial"/>
          <w:sz w:val="16"/>
          <w:szCs w:val="16"/>
          <w:color w:val="auto"/>
        </w:rPr>
        <w:t>. Landlord shall provide to Tenant a tenant improvement allowance (collectively, the “</w:t>
      </w:r>
      <w:r>
        <w:rPr>
          <w:rFonts w:ascii="Arial" w:cs="Arial" w:eastAsia="Arial" w:hAnsi="Arial"/>
          <w:sz w:val="16"/>
          <w:szCs w:val="16"/>
          <w:b w:val="1"/>
          <w:bCs w:val="1"/>
          <w:color w:val="auto"/>
        </w:rPr>
        <w:t>Improvements Allowance</w:t>
      </w:r>
      <w:r>
        <w:rPr>
          <w:rFonts w:ascii="Arial" w:cs="Arial" w:eastAsia="Arial" w:hAnsi="Arial"/>
          <w:sz w:val="16"/>
          <w:szCs w:val="16"/>
          <w:color w:val="auto"/>
        </w:rPr>
        <w:t>”) as</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follows:</w:t>
      </w:r>
    </w:p>
    <w:p>
      <w:pPr>
        <w:spacing w:after="0" w:line="207" w:lineRule="exact"/>
        <w:rPr>
          <w:sz w:val="20"/>
          <w:szCs w:val="20"/>
          <w:color w:val="auto"/>
        </w:rPr>
      </w:pPr>
    </w:p>
    <w:p>
      <w:pPr>
        <w:ind w:right="120" w:firstLine="464"/>
        <w:spacing w:after="0" w:line="282" w:lineRule="auto"/>
        <w:tabs>
          <w:tab w:leader="none" w:pos="636"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Base Building Improvements Allowance</w:t>
      </w:r>
      <w:r>
        <w:rPr>
          <w:rFonts w:ascii="Arial" w:cs="Arial" w:eastAsia="Arial" w:hAnsi="Arial"/>
          <w:sz w:val="18"/>
          <w:szCs w:val="18"/>
          <w:color w:val="auto"/>
        </w:rPr>
        <w:t>” in the maximum amount of $1,090,000 in the aggregate, which is included in the Base Rent set forth in the Lease; and</w:t>
      </w:r>
    </w:p>
    <w:p>
      <w:pPr>
        <w:spacing w:after="0" w:line="161" w:lineRule="exact"/>
        <w:rPr>
          <w:rFonts w:ascii="Arial" w:cs="Arial" w:eastAsia="Arial" w:hAnsi="Arial"/>
          <w:sz w:val="18"/>
          <w:szCs w:val="18"/>
          <w:color w:val="auto"/>
        </w:rPr>
      </w:pPr>
    </w:p>
    <w:p>
      <w:pPr>
        <w:ind w:left="640" w:hanging="176"/>
        <w:spacing w:after="0"/>
        <w:tabs>
          <w:tab w:leader="none" w:pos="64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w:t>
      </w:r>
      <w:r>
        <w:rPr>
          <w:rFonts w:ascii="Arial" w:cs="Arial" w:eastAsia="Arial" w:hAnsi="Arial"/>
          <w:sz w:val="18"/>
          <w:szCs w:val="18"/>
          <w:b w:val="1"/>
          <w:bCs w:val="1"/>
          <w:color w:val="auto"/>
        </w:rPr>
        <w:t>TI Allowance</w:t>
      </w:r>
      <w:r>
        <w:rPr>
          <w:rFonts w:ascii="Arial" w:cs="Arial" w:eastAsia="Arial" w:hAnsi="Arial"/>
          <w:sz w:val="18"/>
          <w:szCs w:val="18"/>
          <w:color w:val="auto"/>
        </w:rPr>
        <w:t>” in the maximum amount of $239,400 in the aggregate, which is included in the Base Rent set forth in the Lease.</w:t>
      </w:r>
    </w:p>
    <w:p>
      <w:pPr>
        <w:spacing w:after="0" w:line="225" w:lineRule="exact"/>
        <w:rPr>
          <w:rFonts w:ascii="Arial" w:cs="Arial" w:eastAsia="Arial" w:hAnsi="Arial"/>
          <w:sz w:val="18"/>
          <w:szCs w:val="18"/>
          <w:color w:val="auto"/>
        </w:rPr>
      </w:pPr>
    </w:p>
    <w:p>
      <w:pPr>
        <w:ind w:right="100" w:firstLine="464"/>
        <w:spacing w:after="0" w:line="282" w:lineRule="auto"/>
        <w:tabs>
          <w:tab w:leader="none" w:pos="636"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 “</w:t>
      </w:r>
      <w:r>
        <w:rPr>
          <w:rFonts w:ascii="Arial" w:cs="Arial" w:eastAsia="Arial" w:hAnsi="Arial"/>
          <w:sz w:val="18"/>
          <w:szCs w:val="18"/>
          <w:b w:val="1"/>
          <w:bCs w:val="1"/>
          <w:color w:val="auto"/>
        </w:rPr>
        <w:t>Additional Allowance</w:t>
      </w:r>
      <w:r>
        <w:rPr>
          <w:rFonts w:ascii="Arial" w:cs="Arial" w:eastAsia="Arial" w:hAnsi="Arial"/>
          <w:sz w:val="18"/>
          <w:szCs w:val="18"/>
          <w:color w:val="auto"/>
        </w:rPr>
        <w:t xml:space="preserve">” in the maximum amount of $598,500 in the aggregate, which shall, to the extent used, result in adjustments to the Base Rent as set forth in </w:t>
      </w:r>
      <w:r>
        <w:rPr>
          <w:rFonts w:ascii="Arial" w:cs="Arial" w:eastAsia="Arial" w:hAnsi="Arial"/>
          <w:sz w:val="18"/>
          <w:szCs w:val="18"/>
          <w:u w:val="single" w:color="auto"/>
          <w:color w:val="auto"/>
        </w:rPr>
        <w:t>Section 5(b)</w:t>
      </w:r>
      <w:r>
        <w:rPr>
          <w:rFonts w:ascii="Arial" w:cs="Arial" w:eastAsia="Arial" w:hAnsi="Arial"/>
          <w:sz w:val="18"/>
          <w:szCs w:val="18"/>
          <w:color w:val="auto"/>
        </w:rPr>
        <w:t xml:space="preserve"> of the First Amendment.</w:t>
      </w:r>
    </w:p>
    <w:p>
      <w:pPr>
        <w:spacing w:after="0" w:line="16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The Improvements Allowance shall be disbursed in accordance with this Work Letter. Tenant shall have no right to the use or benefit (including any reduction to or payment of Base Rent) of any portion of the (x) Base Building Improvements Allowance not required for the construction of the Base Building Improvements, (y) TI Allowance not required for the construction of (i) the Tenant Improvements described in the TI Construction Drawings approved pursuant to </w:t>
      </w:r>
      <w:r>
        <w:rPr>
          <w:rFonts w:ascii="Arial" w:cs="Arial" w:eastAsia="Arial" w:hAnsi="Arial"/>
          <w:sz w:val="18"/>
          <w:szCs w:val="18"/>
          <w:u w:val="single" w:color="auto"/>
          <w:color w:val="auto"/>
        </w:rPr>
        <w:t>Section 2(d)</w:t>
      </w:r>
      <w:r>
        <w:rPr>
          <w:rFonts w:ascii="Arial" w:cs="Arial" w:eastAsia="Arial" w:hAnsi="Arial"/>
          <w:sz w:val="18"/>
          <w:szCs w:val="18"/>
          <w:color w:val="auto"/>
        </w:rPr>
        <w:t xml:space="preserve"> or (ii) any Changes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or (z) Additional Allowance not required for (i) for the construction of the Base Building Improvements, (ii) the Tenant Improvements described in the TI Construction Drawings approved pursuant to </w:t>
      </w:r>
      <w:r>
        <w:rPr>
          <w:rFonts w:ascii="Arial" w:cs="Arial" w:eastAsia="Arial" w:hAnsi="Arial"/>
          <w:sz w:val="18"/>
          <w:szCs w:val="18"/>
          <w:u w:val="single" w:color="auto"/>
          <w:color w:val="auto"/>
        </w:rPr>
        <w:t>Section 2(d)</w:t>
      </w:r>
      <w:r>
        <w:rPr>
          <w:rFonts w:ascii="Arial" w:cs="Arial" w:eastAsia="Arial" w:hAnsi="Arial"/>
          <w:sz w:val="18"/>
          <w:szCs w:val="18"/>
          <w:color w:val="auto"/>
        </w:rPr>
        <w:t xml:space="preserve"> or (iii) any Changes pursuant to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88900</wp:posOffset>
            </wp:positionV>
            <wp:extent cx="2641600" cy="3517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64160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00"/>
          </w:cols>
          <w:pgMar w:left="240" w:top="270" w:right="259" w:bottom="1440" w:gutter="0" w:footer="0" w:header="0"/>
        </w:sectPr>
      </w:pPr>
    </w:p>
    <w:bookmarkStart w:id="72" w:name="page73"/>
    <w:bookmarkEnd w:id="72"/>
    <w:p>
      <w:pPr>
        <w:ind w:firstLine="464"/>
        <w:spacing w:after="0" w:line="273" w:lineRule="auto"/>
        <w:tabs>
          <w:tab w:leader="none" w:pos="701" w:val="left"/>
        </w:tabs>
        <w:numPr>
          <w:ilvl w:val="0"/>
          <w:numId w:val="66"/>
        </w:numPr>
        <w:rPr>
          <w:rFonts w:ascii="Arial" w:cs="Arial" w:eastAsia="Arial" w:hAnsi="Arial"/>
          <w:sz w:val="17"/>
          <w:szCs w:val="17"/>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Costs Includable in TI Fund</w:t>
      </w:r>
      <w:r>
        <w:rPr>
          <w:rFonts w:ascii="Arial" w:cs="Arial" w:eastAsia="Arial" w:hAnsi="Arial"/>
          <w:sz w:val="17"/>
          <w:szCs w:val="17"/>
          <w:color w:val="auto"/>
        </w:rPr>
        <w:t>. The BB Fund and the TI Fund, respectively, shall be used solely for the payment of design, permits and construction</w:t>
      </w:r>
      <w:r>
        <w:rPr>
          <w:rFonts w:ascii="Arial" w:cs="Arial" w:eastAsia="Arial" w:hAnsi="Arial"/>
          <w:sz w:val="17"/>
          <w:szCs w:val="17"/>
          <w:b w:val="1"/>
          <w:bCs w:val="1"/>
          <w:color w:val="auto"/>
        </w:rPr>
        <w:t xml:space="preserve"> </w:t>
      </w:r>
      <w:r>
        <w:rPr>
          <w:rFonts w:ascii="Arial" w:cs="Arial" w:eastAsia="Arial" w:hAnsi="Arial"/>
          <w:sz w:val="17"/>
          <w:szCs w:val="17"/>
          <w:color w:val="auto"/>
        </w:rPr>
        <w:t>costs in connection with the construction of the Base Building Improvements and the Tenant Improvements, respectively, including, without limitation, the cost of preparing the Space Plan and the TI Construction Drawings, all costs set forth in the Budget, including Landlord’s Administrative Rent, Landlord’s reasonable out-of-pocket expenses, costs resulting from delays caused by Tenant and the cost of Changes (collectively, “</w:t>
      </w:r>
      <w:r>
        <w:rPr>
          <w:rFonts w:ascii="Arial" w:cs="Arial" w:eastAsia="Arial" w:hAnsi="Arial"/>
          <w:sz w:val="17"/>
          <w:szCs w:val="17"/>
          <w:b w:val="1"/>
          <w:bCs w:val="1"/>
          <w:color w:val="auto"/>
        </w:rPr>
        <w:t>TI Costs</w:t>
      </w:r>
      <w:r>
        <w:rPr>
          <w:rFonts w:ascii="Arial" w:cs="Arial" w:eastAsia="Arial" w:hAnsi="Arial"/>
          <w:sz w:val="17"/>
          <w:szCs w:val="17"/>
          <w:color w:val="auto"/>
        </w:rPr>
        <w:t>”). Notwithstanding anything to the contrary contained herein, neither the TI Fund or the BB Fund shall be used to purchase any furniture, personal property or other non-Building system materials or equipment, including, but not limited to, Tenant’s voice or data cabling, non-ducted biological safety cabinets and other scientific equipment not incorporated into the Base Building Improvements or the Tenant Improvements.</w:t>
      </w:r>
    </w:p>
    <w:p>
      <w:pPr>
        <w:spacing w:after="0" w:line="172" w:lineRule="exact"/>
        <w:rPr>
          <w:rFonts w:ascii="Arial" w:cs="Arial" w:eastAsia="Arial" w:hAnsi="Arial"/>
          <w:sz w:val="17"/>
          <w:szCs w:val="17"/>
          <w:color w:val="auto"/>
        </w:rPr>
      </w:pPr>
    </w:p>
    <w:p>
      <w:pPr>
        <w:ind w:firstLine="464"/>
        <w:spacing w:after="0" w:line="285" w:lineRule="auto"/>
        <w:tabs>
          <w:tab w:leader="none" w:pos="711" w:val="left"/>
        </w:tabs>
        <w:numPr>
          <w:ilvl w:val="0"/>
          <w:numId w:val="66"/>
        </w:numPr>
        <w:rPr>
          <w:rFonts w:ascii="Arial" w:cs="Arial" w:eastAsia="Arial" w:hAnsi="Arial"/>
          <w:sz w:val="16"/>
          <w:szCs w:val="16"/>
          <w:color w:val="auto"/>
        </w:rPr>
      </w:pPr>
      <w:r>
        <w:rPr>
          <w:rFonts w:ascii="Arial" w:cs="Arial" w:eastAsia="Arial" w:hAnsi="Arial"/>
          <w:sz w:val="16"/>
          <w:szCs w:val="16"/>
          <w:b w:val="1"/>
          <w:bCs w:val="1"/>
          <w:color w:val="auto"/>
        </w:rPr>
        <w:t>Excess TI Costs</w:t>
      </w:r>
      <w:r>
        <w:rPr>
          <w:rFonts w:ascii="Arial" w:cs="Arial" w:eastAsia="Arial" w:hAnsi="Arial"/>
          <w:sz w:val="16"/>
          <w:szCs w:val="16"/>
          <w:color w:val="auto"/>
        </w:rPr>
        <w:t>. Landlord shall have no obligation to bear any portion of the cost of any of the Base Building Improvements except to the extent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Base Building Improvements Allowance and any Additional Allowance elected to be used by Tenant for the Base Building Improvements, or any portion of the cost of the Tenant Improvements except to the extent of the TI Allowance and any Additional Allowance elected to be used by Tenant for the Tenant Improvements. As used in this Work Letter, “</w:t>
      </w:r>
      <w:r>
        <w:rPr>
          <w:rFonts w:ascii="Arial" w:cs="Arial" w:eastAsia="Arial" w:hAnsi="Arial"/>
          <w:sz w:val="16"/>
          <w:szCs w:val="16"/>
          <w:b w:val="1"/>
          <w:bCs w:val="1"/>
          <w:color w:val="auto"/>
        </w:rPr>
        <w:t>Landlord’s Portion</w:t>
      </w:r>
      <w:r>
        <w:rPr>
          <w:rFonts w:ascii="Arial" w:cs="Arial" w:eastAsia="Arial" w:hAnsi="Arial"/>
          <w:sz w:val="16"/>
          <w:szCs w:val="16"/>
          <w:color w:val="auto"/>
        </w:rPr>
        <w:t>” shall equal the amount of the TI Allowance and any portion of the Additional Allowance elected to be used by Tenant for the Tenant Improvements. For purposes of this Work Letter, “</w:t>
      </w:r>
      <w:r>
        <w:rPr>
          <w:rFonts w:ascii="Arial" w:cs="Arial" w:eastAsia="Arial" w:hAnsi="Arial"/>
          <w:sz w:val="16"/>
          <w:szCs w:val="16"/>
          <w:b w:val="1"/>
          <w:bCs w:val="1"/>
          <w:color w:val="auto"/>
        </w:rPr>
        <w:t>Landlord’s Proportionate Share</w:t>
      </w:r>
      <w:r>
        <w:rPr>
          <w:rFonts w:ascii="Arial" w:cs="Arial" w:eastAsia="Arial" w:hAnsi="Arial"/>
          <w:sz w:val="16"/>
          <w:szCs w:val="16"/>
          <w:color w:val="auto"/>
        </w:rPr>
        <w:t>” shall mean a fraction, the numerator of which shall be the Landlord’s Portion and the denominator of which shall be the anticipated TI Costs for the Tenant Improvements. If at any time TI Costs for the Tenant Improvements under the TI Budget exceed the TI Allowance and any portion of the Additional Allowance elected to be used by Tenant for the Tenant Improvements, the difference shall be referred to herein as “</w:t>
      </w:r>
      <w:r>
        <w:rPr>
          <w:rFonts w:ascii="Arial" w:cs="Arial" w:eastAsia="Arial" w:hAnsi="Arial"/>
          <w:sz w:val="16"/>
          <w:szCs w:val="16"/>
          <w:b w:val="1"/>
          <w:bCs w:val="1"/>
          <w:color w:val="auto"/>
        </w:rPr>
        <w:t>Tenant’s Portion</w:t>
      </w:r>
      <w:r>
        <w:rPr>
          <w:rFonts w:ascii="Arial" w:cs="Arial" w:eastAsia="Arial" w:hAnsi="Arial"/>
          <w:sz w:val="16"/>
          <w:szCs w:val="16"/>
          <w:color w:val="auto"/>
        </w:rPr>
        <w:t>.” For the purposes of this Work Letter, “</w:t>
      </w:r>
      <w:r>
        <w:rPr>
          <w:rFonts w:ascii="Arial" w:cs="Arial" w:eastAsia="Arial" w:hAnsi="Arial"/>
          <w:sz w:val="16"/>
          <w:szCs w:val="16"/>
          <w:b w:val="1"/>
          <w:bCs w:val="1"/>
          <w:color w:val="auto"/>
        </w:rPr>
        <w:t>Tenant’s</w:t>
      </w:r>
      <w:r>
        <w:rPr>
          <w:rFonts w:ascii="Arial" w:cs="Arial" w:eastAsia="Arial" w:hAnsi="Arial"/>
          <w:sz w:val="16"/>
          <w:szCs w:val="16"/>
          <w:color w:val="auto"/>
        </w:rPr>
        <w:t xml:space="preserve"> </w:t>
      </w:r>
      <w:r>
        <w:rPr>
          <w:rFonts w:ascii="Arial" w:cs="Arial" w:eastAsia="Arial" w:hAnsi="Arial"/>
          <w:sz w:val="16"/>
          <w:szCs w:val="16"/>
          <w:b w:val="1"/>
          <w:bCs w:val="1"/>
          <w:color w:val="auto"/>
        </w:rPr>
        <w:t>Proportionate Share</w:t>
      </w:r>
      <w:r>
        <w:rPr>
          <w:rFonts w:ascii="Arial" w:cs="Arial" w:eastAsia="Arial" w:hAnsi="Arial"/>
          <w:sz w:val="16"/>
          <w:szCs w:val="16"/>
          <w:color w:val="auto"/>
        </w:rPr>
        <w:t>” shall mean a fraction, the numerator of which is Tenant’s Portion and the denominator of which is the anticipated TI Costs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Tenant Improvements. Upon written notice to Tenant, which notice shall include reasonable evidence of the costs and expenses on which Landlord’s calculation is based. Landlord may equitably adjust Landlord’s Proportionate Share and Tenant’s Proportionate Share from time to time based on changes in the reasonably anticipated TI Costs for the Tenant Improvements. After the end of each calendar month beginning with the month in which TI Costs for the Tenant Improvements are first incurred, (i) Landlord shall reasonably determine the TI Costs for the Tenant Improvements incurred for the prior calendar month (collectively, the “</w:t>
      </w:r>
      <w:r>
        <w:rPr>
          <w:rFonts w:ascii="Arial" w:cs="Arial" w:eastAsia="Arial" w:hAnsi="Arial"/>
          <w:sz w:val="16"/>
          <w:szCs w:val="16"/>
          <w:b w:val="1"/>
          <w:bCs w:val="1"/>
          <w:color w:val="auto"/>
        </w:rPr>
        <w:t>Total Monthly Costs</w:t>
      </w:r>
      <w:r>
        <w:rPr>
          <w:rFonts w:ascii="Arial" w:cs="Arial" w:eastAsia="Arial" w:hAnsi="Arial"/>
          <w:sz w:val="16"/>
          <w:szCs w:val="16"/>
          <w:color w:val="auto"/>
        </w:rPr>
        <w:t>”), (ii) Landlord shall provide written notice to Tenant which shall include reasonable evidence of the costs and expenses on which Landlord’s calculation is based, and (iii) Tenant shall reimburse Landlord within 30 days after Landlord’s written request for Tenant’s Proportionate Share of Total Monthly Costs. The TI Allowance, any portion of the Additional Allowance elected to be used by Tenant for the Tenant Improvements and Tenant’s Portion are herein referred to together as the “</w:t>
      </w:r>
      <w:r>
        <w:rPr>
          <w:rFonts w:ascii="Arial" w:cs="Arial" w:eastAsia="Arial" w:hAnsi="Arial"/>
          <w:sz w:val="16"/>
          <w:szCs w:val="16"/>
          <w:b w:val="1"/>
          <w:bCs w:val="1"/>
          <w:color w:val="auto"/>
        </w:rPr>
        <w:t>TI Fund</w:t>
      </w:r>
      <w:r>
        <w:rPr>
          <w:rFonts w:ascii="Arial" w:cs="Arial" w:eastAsia="Arial" w:hAnsi="Arial"/>
          <w:sz w:val="16"/>
          <w:szCs w:val="16"/>
          <w:color w:val="auto"/>
        </w:rPr>
        <w:t>.” If Tenant fails to deposit any of Tenant’s Proportionate Share with Landlord within said 30 day period, Landlord shall have all of the rights and remedies set forth in the Lease for nonpayment of Rent (including, but not limited to, the right to interest at the Default Rate and the right to assess a late charge). For purposes of any litigation instituted with regard to such amounts, those amounts will be deemed Rent under the Lease. Notwithstanding anything to the contrary set forth in this paragraph, Tenant shall be fully and solely liable for the TI Costs for the Tenant Improvements and the costs of Minor Variations to the Tenant Improvements in excess of the TI Allowance and any portion of the Additional Allowance elected to be used by Tenant for the Tenant Improvements.</w:t>
      </w:r>
    </w:p>
    <w:p>
      <w:pPr>
        <w:spacing w:after="0" w:line="382" w:lineRule="exact"/>
        <w:rPr>
          <w:sz w:val="20"/>
          <w:szCs w:val="20"/>
          <w:color w:val="auto"/>
        </w:rPr>
      </w:pPr>
    </w:p>
    <w:p>
      <w:pPr>
        <w:ind w:right="60" w:firstLine="456"/>
        <w:spacing w:after="0" w:line="277" w:lineRule="auto"/>
        <w:rPr>
          <w:sz w:val="20"/>
          <w:szCs w:val="20"/>
          <w:color w:val="auto"/>
        </w:rPr>
      </w:pPr>
      <w:r>
        <w:rPr>
          <w:rFonts w:ascii="Arial" w:cs="Arial" w:eastAsia="Arial" w:hAnsi="Arial"/>
          <w:sz w:val="17"/>
          <w:szCs w:val="17"/>
          <w:color w:val="auto"/>
        </w:rPr>
        <w:t>As used in this Work Letter, “</w:t>
      </w:r>
      <w:r>
        <w:rPr>
          <w:rFonts w:ascii="Arial" w:cs="Arial" w:eastAsia="Arial" w:hAnsi="Arial"/>
          <w:sz w:val="17"/>
          <w:szCs w:val="17"/>
          <w:b w:val="1"/>
          <w:bCs w:val="1"/>
          <w:color w:val="auto"/>
        </w:rPr>
        <w:t>Landlord’s BB Portion</w:t>
      </w:r>
      <w:r>
        <w:rPr>
          <w:rFonts w:ascii="Arial" w:cs="Arial" w:eastAsia="Arial" w:hAnsi="Arial"/>
          <w:sz w:val="17"/>
          <w:szCs w:val="17"/>
          <w:color w:val="auto"/>
        </w:rPr>
        <w:t>” shall equal the amount of the Base Building Improvements Allowance and any Additional Allowance elected to be used by Tenant for the Base Building Improvements. For purposes of this Work Letter, “</w:t>
      </w:r>
      <w:r>
        <w:rPr>
          <w:rFonts w:ascii="Arial" w:cs="Arial" w:eastAsia="Arial" w:hAnsi="Arial"/>
          <w:sz w:val="17"/>
          <w:szCs w:val="17"/>
          <w:b w:val="1"/>
          <w:bCs w:val="1"/>
          <w:color w:val="auto"/>
        </w:rPr>
        <w:t>Landlord’s BB Proportionate Share</w:t>
      </w:r>
      <w:r>
        <w:rPr>
          <w:rFonts w:ascii="Arial" w:cs="Arial" w:eastAsia="Arial" w:hAnsi="Arial"/>
          <w:sz w:val="17"/>
          <w:szCs w:val="17"/>
          <w:color w:val="auto"/>
        </w:rPr>
        <w:t>” shall mean a fraction, the numerator of which shall be the Landlord’s BB Portion and the denominator of which shall be the anticipated TI Costs for the Base Building Improvements. If at any time TI Costs for the Base Building Improvements under the Base Building Improvements Budget exceed the Base Building Improvements Allowance and any Additional Allowance elected to be used by Tenant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75565</wp:posOffset>
            </wp:positionV>
            <wp:extent cx="2641600" cy="3517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4160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420"/>
          </w:cols>
          <w:pgMar w:left="240" w:top="270" w:right="239" w:bottom="1440" w:gutter="0" w:footer="0" w:header="0"/>
        </w:sectPr>
      </w:pPr>
    </w:p>
    <w:bookmarkStart w:id="73" w:name="page74"/>
    <w:bookmarkEnd w:id="73"/>
    <w:p>
      <w:pPr>
        <w:ind w:right="6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Base Building Improvements, the difference shall be referred to herein as “</w:t>
      </w:r>
      <w:r>
        <w:rPr>
          <w:rFonts w:ascii="Arial" w:cs="Arial" w:eastAsia="Arial" w:hAnsi="Arial"/>
          <w:sz w:val="17"/>
          <w:szCs w:val="17"/>
          <w:b w:val="1"/>
          <w:bCs w:val="1"/>
          <w:color w:val="auto"/>
        </w:rPr>
        <w:t>Tenant’s BB Portion</w:t>
      </w:r>
      <w:r>
        <w:rPr>
          <w:rFonts w:ascii="Arial" w:cs="Arial" w:eastAsia="Arial" w:hAnsi="Arial"/>
          <w:sz w:val="17"/>
          <w:szCs w:val="17"/>
          <w:color w:val="auto"/>
        </w:rPr>
        <w:t>.” For the purposes of this Work Letter, “</w:t>
      </w:r>
      <w:r>
        <w:rPr>
          <w:rFonts w:ascii="Arial" w:cs="Arial" w:eastAsia="Arial" w:hAnsi="Arial"/>
          <w:sz w:val="17"/>
          <w:szCs w:val="17"/>
          <w:b w:val="1"/>
          <w:bCs w:val="1"/>
          <w:color w:val="auto"/>
        </w:rPr>
        <w:t>Tenant’s BB</w:t>
      </w:r>
      <w:r>
        <w:rPr>
          <w:rFonts w:ascii="Arial" w:cs="Arial" w:eastAsia="Arial" w:hAnsi="Arial"/>
          <w:sz w:val="17"/>
          <w:szCs w:val="17"/>
          <w:color w:val="auto"/>
        </w:rPr>
        <w:t xml:space="preserve"> </w:t>
      </w:r>
      <w:r>
        <w:rPr>
          <w:rFonts w:ascii="Arial" w:cs="Arial" w:eastAsia="Arial" w:hAnsi="Arial"/>
          <w:sz w:val="17"/>
          <w:szCs w:val="17"/>
          <w:b w:val="1"/>
          <w:bCs w:val="1"/>
          <w:color w:val="auto"/>
        </w:rPr>
        <w:t>Proportionate Share</w:t>
      </w:r>
      <w:r>
        <w:rPr>
          <w:rFonts w:ascii="Arial" w:cs="Arial" w:eastAsia="Arial" w:hAnsi="Arial"/>
          <w:sz w:val="17"/>
          <w:szCs w:val="17"/>
          <w:color w:val="auto"/>
        </w:rPr>
        <w:t>” shall mean a fraction, the numerator of which is Tenant’s BB Portion and the denominator of which is the anticipated TI Costs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Base Building Improvements. Upon written notice to Tenant, which notice shall include reasonable evidence of the costs and expenses on which Landlord’s calculation is based, Landlord may equitably adjust Landlord’s BB Proportionate Share and Tenant’s BB Proportionate Share from time to time based on changes in the anticipated TI Costs for the Base Building Improvements. After the end of each calendar month beginning with the month in which TI Costs for the Base Building Improvements are first incurred, (i) Landlord shall determine the TI Costs for the Base Building Improvements incurred for the prior calendar month (collectively, the “</w:t>
      </w:r>
      <w:r>
        <w:rPr>
          <w:rFonts w:ascii="Arial" w:cs="Arial" w:eastAsia="Arial" w:hAnsi="Arial"/>
          <w:sz w:val="17"/>
          <w:szCs w:val="17"/>
          <w:b w:val="1"/>
          <w:bCs w:val="1"/>
          <w:color w:val="auto"/>
        </w:rPr>
        <w:t>Total BB Monthly Costs</w:t>
      </w:r>
      <w:r>
        <w:rPr>
          <w:rFonts w:ascii="Arial" w:cs="Arial" w:eastAsia="Arial" w:hAnsi="Arial"/>
          <w:sz w:val="17"/>
          <w:szCs w:val="17"/>
          <w:color w:val="auto"/>
        </w:rPr>
        <w:t>”), (ii) Landlord shall provide written notice to Tenant which shall include reasonable evidence of the costs and expenses on which Landlord’s calculation is based, and (iii) Tenant shall deliver to Landlord within 30 days after such determination for Tenant’s BB Proportionate Share of Total BB Monthly Costs. The Base Building Improvements Allowance, any Additional Allowance elected to be used by Tenant for the Base Building Improvements and Tenant’s BB Portion are herein referred to together as the “</w:t>
      </w:r>
      <w:r>
        <w:rPr>
          <w:rFonts w:ascii="Arial" w:cs="Arial" w:eastAsia="Arial" w:hAnsi="Arial"/>
          <w:sz w:val="17"/>
          <w:szCs w:val="17"/>
          <w:b w:val="1"/>
          <w:bCs w:val="1"/>
          <w:color w:val="auto"/>
        </w:rPr>
        <w:t>BB Fund</w:t>
      </w:r>
      <w:r>
        <w:rPr>
          <w:rFonts w:ascii="Arial" w:cs="Arial" w:eastAsia="Arial" w:hAnsi="Arial"/>
          <w:sz w:val="17"/>
          <w:szCs w:val="17"/>
          <w:color w:val="auto"/>
        </w:rPr>
        <w:t>.” If Tenant fails to deposit any of Tenant’s BB Proportionate Share with Landlord within said 30 day period, Landlord shall have all of the rights and remedies set forth in the Lease for nonpayment of Rent (including, but not limited to, the right to interest at the Default Rate and the right to assess a late charge). For purposes of any litigation instituted with regard to such amounts, those amounts will be deemed Rent under the Lease. Notwithstanding anything to the contrary set forth in this paragraph, Tenant shall be fully and solely liable for TI Costs for the Base Building Improvements and the costs of Minor Variations to the Base Building Improvements in excess of the Base Building Improvements Allowance and any portion of the Additional Allowance elected to be used by Tenant for the Base Building Improvements.</w:t>
      </w:r>
    </w:p>
    <w:p>
      <w:pPr>
        <w:spacing w:after="0" w:line="181" w:lineRule="exact"/>
        <w:rPr>
          <w:sz w:val="20"/>
          <w:szCs w:val="20"/>
          <w:color w:val="auto"/>
        </w:rPr>
      </w:pPr>
    </w:p>
    <w:p>
      <w:pPr>
        <w:ind w:left="640" w:hanging="17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b w:val="1"/>
          <w:bCs w:val="1"/>
          <w:color w:val="auto"/>
        </w:rPr>
        <w:t>Tenant Access</w:t>
      </w:r>
      <w:r>
        <w:rPr>
          <w:rFonts w:ascii="Arial" w:cs="Arial" w:eastAsia="Arial" w:hAnsi="Arial"/>
          <w:sz w:val="18"/>
          <w:szCs w:val="18"/>
          <w:color w:val="auto"/>
        </w:rPr>
        <w:t>.</w:t>
      </w:r>
    </w:p>
    <w:p>
      <w:pPr>
        <w:spacing w:after="0" w:line="225" w:lineRule="exact"/>
        <w:rPr>
          <w:sz w:val="20"/>
          <w:szCs w:val="20"/>
          <w:color w:val="auto"/>
        </w:rPr>
      </w:pPr>
    </w:p>
    <w:p>
      <w:pPr>
        <w:ind w:firstLine="464"/>
        <w:spacing w:after="0" w:line="271" w:lineRule="auto"/>
        <w:tabs>
          <w:tab w:leader="none" w:pos="701" w:val="left"/>
        </w:tabs>
        <w:numPr>
          <w:ilvl w:val="0"/>
          <w:numId w:val="68"/>
        </w:numPr>
        <w:rPr>
          <w:rFonts w:ascii="Arial" w:cs="Arial" w:eastAsia="Arial" w:hAnsi="Arial"/>
          <w:sz w:val="17"/>
          <w:szCs w:val="17"/>
          <w:color w:val="auto"/>
        </w:rPr>
      </w:pPr>
      <w:r>
        <w:rPr>
          <w:rFonts w:ascii="Arial" w:cs="Arial" w:eastAsia="Arial" w:hAnsi="Arial"/>
          <w:sz w:val="17"/>
          <w:szCs w:val="17"/>
          <w:b w:val="1"/>
          <w:bCs w:val="1"/>
          <w:color w:val="auto"/>
        </w:rPr>
        <w:t>Tenant’s Access Rights</w:t>
      </w:r>
      <w:r>
        <w:rPr>
          <w:rFonts w:ascii="Arial" w:cs="Arial" w:eastAsia="Arial" w:hAnsi="Arial"/>
          <w:sz w:val="17"/>
          <w:szCs w:val="17"/>
          <w:color w:val="auto"/>
        </w:rPr>
        <w:t>. Landlord and Tenant acknowledge that Tenant will occupy the Original Premises and all or a portion of the Expansion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Premises during the performance of Landlord’s Work. Subject to applicable Legal Requirements, Tenant shall have the right to occupy the Expansion Premises and the Original Premises (except those portions of the Expansion Premises and the Original Premises in which Landlord’s Work is being performed while Landlord’s Work is being performed in such portions), at Tenant’s sole risk and expense, during the performance of Landlord’s Work. Tenant shall cooperate with Landlord in connection with the performance of Landlord’s Work. Tenant acknowledges that Landlord’s Work may adversely affect Tenant’s use and occupancy of the Expansion Premises and/or the Original Premises during the performance of Landlord’s Work. Landlord shall endeavor to minimize interference with Tenant’s operations in the Expansion Premises and the Original Premises in connection with Landlord’s performance of Landlord’s Work. Except as expressly provided in the first paragraph of </w:t>
      </w:r>
      <w:r>
        <w:rPr>
          <w:rFonts w:ascii="Arial" w:cs="Arial" w:eastAsia="Arial" w:hAnsi="Arial"/>
          <w:sz w:val="17"/>
          <w:szCs w:val="17"/>
          <w:u w:val="single" w:color="auto"/>
          <w:color w:val="auto"/>
        </w:rPr>
        <w:t>Section 2</w:t>
      </w:r>
      <w:r>
        <w:rPr>
          <w:rFonts w:ascii="Arial" w:cs="Arial" w:eastAsia="Arial" w:hAnsi="Arial"/>
          <w:sz w:val="17"/>
          <w:szCs w:val="17"/>
          <w:color w:val="auto"/>
        </w:rPr>
        <w:t xml:space="preserve"> of the First Amendment. Tenant shall have no right to abate, reduce or set-off any Rent in connection with the performance of Landlord’s Work.</w:t>
      </w:r>
    </w:p>
    <w:p>
      <w:pPr>
        <w:spacing w:after="0" w:line="174" w:lineRule="exact"/>
        <w:rPr>
          <w:rFonts w:ascii="Arial" w:cs="Arial" w:eastAsia="Arial" w:hAnsi="Arial"/>
          <w:sz w:val="17"/>
          <w:szCs w:val="17"/>
          <w:color w:val="auto"/>
        </w:rPr>
      </w:pPr>
    </w:p>
    <w:p>
      <w:pPr>
        <w:ind w:right="180" w:firstLine="464"/>
        <w:spacing w:after="0" w:line="289" w:lineRule="auto"/>
        <w:tabs>
          <w:tab w:leader="none" w:pos="711" w:val="left"/>
        </w:tabs>
        <w:numPr>
          <w:ilvl w:val="0"/>
          <w:numId w:val="68"/>
        </w:numPr>
        <w:rPr>
          <w:rFonts w:ascii="Arial" w:cs="Arial" w:eastAsia="Arial" w:hAnsi="Arial"/>
          <w:sz w:val="17"/>
          <w:szCs w:val="17"/>
          <w:color w:val="auto"/>
        </w:rPr>
      </w:pPr>
      <w:r>
        <w:rPr>
          <w:rFonts w:ascii="Arial" w:cs="Arial" w:eastAsia="Arial" w:hAnsi="Arial"/>
          <w:sz w:val="17"/>
          <w:szCs w:val="17"/>
          <w:b w:val="1"/>
          <w:bCs w:val="1"/>
          <w:color w:val="auto"/>
        </w:rPr>
        <w:t>No Interference</w:t>
      </w:r>
      <w:r>
        <w:rPr>
          <w:rFonts w:ascii="Arial" w:cs="Arial" w:eastAsia="Arial" w:hAnsi="Arial"/>
          <w:sz w:val="17"/>
          <w:szCs w:val="17"/>
          <w:color w:val="auto"/>
        </w:rPr>
        <w:t>. Neither Tenant nor any Tenant Party (as defined in the Lease) shall interfere with the performance of Landlord’s Work, nor with</w:t>
      </w:r>
      <w:r>
        <w:rPr>
          <w:rFonts w:ascii="Arial" w:cs="Arial" w:eastAsia="Arial" w:hAnsi="Arial"/>
          <w:sz w:val="17"/>
          <w:szCs w:val="17"/>
          <w:b w:val="1"/>
          <w:bCs w:val="1"/>
          <w:color w:val="auto"/>
        </w:rPr>
        <w:t xml:space="preserve"> </w:t>
      </w:r>
      <w:r>
        <w:rPr>
          <w:rFonts w:ascii="Arial" w:cs="Arial" w:eastAsia="Arial" w:hAnsi="Arial"/>
          <w:sz w:val="17"/>
          <w:szCs w:val="17"/>
          <w:color w:val="auto"/>
        </w:rPr>
        <w:t>any inspections or issuance of final approvals by applicable Governmental Authorities, and upon any such interference, Landlord shall have the right to exclude Tenant and any Tenant Party from the Expansion Premises until Substantial Completion of Landlord’s Work.</w:t>
      </w:r>
    </w:p>
    <w:p>
      <w:pPr>
        <w:spacing w:after="0" w:line="158" w:lineRule="exact"/>
        <w:rPr>
          <w:sz w:val="20"/>
          <w:szCs w:val="20"/>
          <w:color w:val="auto"/>
        </w:rPr>
      </w:pPr>
    </w:p>
    <w:p>
      <w:pPr>
        <w:ind w:left="640" w:hanging="176"/>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5" w:lineRule="exact"/>
        <w:rPr>
          <w:sz w:val="20"/>
          <w:szCs w:val="20"/>
          <w:color w:val="auto"/>
        </w:rPr>
      </w:pPr>
    </w:p>
    <w:p>
      <w:pPr>
        <w:ind w:right="80" w:firstLine="464"/>
        <w:spacing w:after="0" w:line="282" w:lineRule="auto"/>
        <w:tabs>
          <w:tab w:leader="none" w:pos="701"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Consents</w:t>
      </w:r>
      <w:r>
        <w:rPr>
          <w:rFonts w:ascii="Arial" w:cs="Arial" w:eastAsia="Arial" w:hAnsi="Arial"/>
          <w:sz w:val="18"/>
          <w:szCs w:val="18"/>
          <w:color w:val="auto"/>
        </w:rPr>
        <w:t>. Whenever consent or approval of either party is required under this Work Letter, that party shall not unreasonably withhold, condition or</w:t>
      </w:r>
      <w:r>
        <w:rPr>
          <w:rFonts w:ascii="Arial" w:cs="Arial" w:eastAsia="Arial" w:hAnsi="Arial"/>
          <w:sz w:val="18"/>
          <w:szCs w:val="18"/>
          <w:b w:val="1"/>
          <w:bCs w:val="1"/>
          <w:color w:val="auto"/>
        </w:rPr>
        <w:t xml:space="preserve"> </w:t>
      </w:r>
      <w:r>
        <w:rPr>
          <w:rFonts w:ascii="Arial" w:cs="Arial" w:eastAsia="Arial" w:hAnsi="Arial"/>
          <w:sz w:val="18"/>
          <w:szCs w:val="18"/>
          <w:color w:val="auto"/>
        </w:rPr>
        <w:t>delay such consent or approval, unless expressly set forth herein to the contrary.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4610100</wp:posOffset>
            </wp:positionH>
            <wp:positionV relativeFrom="paragraph">
              <wp:posOffset>71755</wp:posOffset>
            </wp:positionV>
            <wp:extent cx="2641600" cy="3517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64160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420"/>
          </w:cols>
          <w:pgMar w:left="240" w:top="270" w:right="239" w:bottom="1440" w:gutter="0" w:footer="0" w:header="0"/>
        </w:sectPr>
      </w:pPr>
    </w:p>
    <w:bookmarkStart w:id="74" w:name="page75"/>
    <w:bookmarkEnd w:id="74"/>
    <w:p>
      <w:pPr>
        <w:ind w:left="-180" w:firstLine="464"/>
        <w:spacing w:after="0" w:line="282" w:lineRule="auto"/>
        <w:tabs>
          <w:tab w:leader="none" w:pos="531"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Modification</w:t>
      </w:r>
      <w:r>
        <w:rPr>
          <w:rFonts w:ascii="Arial" w:cs="Arial" w:eastAsia="Arial" w:hAnsi="Arial"/>
          <w:sz w:val="18"/>
          <w:szCs w:val="18"/>
          <w:color w:val="auto"/>
        </w:rPr>
        <w:t>. No modification, waiver or amendment of this Work Letter or of any of its conditions or provisions shall be binding upon Landlord</w:t>
      </w:r>
      <w:r>
        <w:rPr>
          <w:rFonts w:ascii="Arial" w:cs="Arial" w:eastAsia="Arial" w:hAnsi="Arial"/>
          <w:sz w:val="18"/>
          <w:szCs w:val="18"/>
          <w:b w:val="1"/>
          <w:bCs w:val="1"/>
          <w:color w:val="auto"/>
        </w:rPr>
        <w:t xml:space="preserve"> </w:t>
      </w:r>
      <w:r>
        <w:rPr>
          <w:rFonts w:ascii="Arial" w:cs="Arial" w:eastAsia="Arial" w:hAnsi="Arial"/>
          <w:sz w:val="18"/>
          <w:szCs w:val="18"/>
          <w:color w:val="auto"/>
        </w:rPr>
        <w:t>or Tenant unless in writing signed by Landlord and Tenant.</w:t>
      </w:r>
    </w:p>
    <w:p>
      <w:pPr>
        <w:spacing w:after="0" w:line="161" w:lineRule="exact"/>
        <w:rPr>
          <w:rFonts w:ascii="Arial" w:cs="Arial" w:eastAsia="Arial" w:hAnsi="Arial"/>
          <w:sz w:val="18"/>
          <w:szCs w:val="18"/>
          <w:color w:val="auto"/>
        </w:rPr>
      </w:pPr>
    </w:p>
    <w:p>
      <w:pPr>
        <w:ind w:left="-180" w:right="280" w:firstLine="464"/>
        <w:spacing w:after="0" w:line="313" w:lineRule="auto"/>
        <w:tabs>
          <w:tab w:leader="none" w:pos="521" w:val="left"/>
        </w:tabs>
        <w:numPr>
          <w:ilvl w:val="0"/>
          <w:numId w:val="71"/>
        </w:numPr>
        <w:rPr>
          <w:rFonts w:ascii="Arial" w:cs="Arial" w:eastAsia="Arial" w:hAnsi="Arial"/>
          <w:sz w:val="17"/>
          <w:szCs w:val="17"/>
          <w:color w:val="auto"/>
        </w:rPr>
      </w:pPr>
      <w:r>
        <w:rPr>
          <w:rFonts w:ascii="Arial" w:cs="Arial" w:eastAsia="Arial" w:hAnsi="Arial"/>
          <w:sz w:val="17"/>
          <w:szCs w:val="17"/>
          <w:b w:val="1"/>
          <w:bCs w:val="1"/>
          <w:color w:val="auto"/>
        </w:rPr>
        <w:t>Default</w:t>
      </w:r>
      <w:r>
        <w:rPr>
          <w:rFonts w:ascii="Arial" w:cs="Arial" w:eastAsia="Arial" w:hAnsi="Arial"/>
          <w:sz w:val="17"/>
          <w:szCs w:val="17"/>
          <w:color w:val="auto"/>
        </w:rPr>
        <w:t>. Notwithstanding anything set forth herein or in the Lease to the contrary, Landlord shall not have any obligation to perform any work</w:t>
      </w:r>
      <w:r>
        <w:rPr>
          <w:rFonts w:ascii="Arial" w:cs="Arial" w:eastAsia="Arial" w:hAnsi="Arial"/>
          <w:sz w:val="17"/>
          <w:szCs w:val="17"/>
          <w:b w:val="1"/>
          <w:bCs w:val="1"/>
          <w:color w:val="auto"/>
        </w:rPr>
        <w:t xml:space="preserve"> </w:t>
      </w:r>
      <w:r>
        <w:rPr>
          <w:rFonts w:ascii="Arial" w:cs="Arial" w:eastAsia="Arial" w:hAnsi="Arial"/>
          <w:sz w:val="17"/>
          <w:szCs w:val="17"/>
          <w:color w:val="auto"/>
        </w:rPr>
        <w:t>hereunder or to fund any portion of Improvements Allowance during any period that there is an Event of Default by Tenant under the 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4495800</wp:posOffset>
            </wp:positionH>
            <wp:positionV relativeFrom="paragraph">
              <wp:posOffset>56515</wp:posOffset>
            </wp:positionV>
            <wp:extent cx="2641600" cy="3517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641600" cy="351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080"/>
          </w:cols>
          <w:pgMar w:left="420" w:top="270" w:right="399" w:bottom="1440" w:gutter="0" w:footer="0" w:header="0"/>
        </w:sectPr>
      </w:pPr>
    </w:p>
    <w:bookmarkStart w:id="75" w:name="page76"/>
    <w:bookmarkEnd w:id="7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Jay R. Luly, Ph.D., certify that:</w:t>
      </w:r>
    </w:p>
    <w:p>
      <w:pPr>
        <w:spacing w:after="0" w:line="131" w:lineRule="exact"/>
        <w:rPr>
          <w:sz w:val="20"/>
          <w:szCs w:val="20"/>
          <w:color w:val="auto"/>
        </w:rPr>
      </w:pPr>
    </w:p>
    <w:p>
      <w:pPr>
        <w:ind w:left="460" w:hanging="452"/>
        <w:spacing w:after="0"/>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680" w:hanging="452"/>
        <w:spacing w:after="0" w:line="277" w:lineRule="auto"/>
        <w:tabs>
          <w:tab w:leader="none" w:pos="4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Jay R. Luly, Ph.D.</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1"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Paul J. Mellett, certify that:</w:t>
      </w:r>
    </w:p>
    <w:p>
      <w:pPr>
        <w:spacing w:after="0" w:line="131" w:lineRule="exact"/>
        <w:rPr>
          <w:sz w:val="20"/>
          <w:szCs w:val="20"/>
          <w:color w:val="auto"/>
        </w:rPr>
      </w:pPr>
    </w:p>
    <w:p>
      <w:pPr>
        <w:ind w:left="460" w:hanging="452"/>
        <w:spacing w:after="0"/>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Enanta Pharmaceuticals,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680" w:hanging="452"/>
        <w:spacing w:after="0" w:line="277" w:lineRule="auto"/>
        <w:tabs>
          <w:tab w:leader="none" w:pos="4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75"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7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7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8, 2015</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J. Mellett</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21"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ENANTA PHARMACEUTICALS,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Financial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Each of the undersigned officers of Enanta Pharmaceuticals, Inc. (“Enanta”) certifies, to his knowledge and solely for the purposes of 18 U.S.C. Section 1350, as adopted pursuant to Section 906 of the Sarbanes-Oxley Act of 2002, that the Quarterly Report on Form 10-Q of Enanta for the three and six months ended March 31, 2015 fully complies with the requirements of Section 13(a) or 15(d) of the Securities Exchange Act of 1934 and that information contained in the Form 10-Q fairly presents, in all material respects, the financial condition and results of operations of Enanta.</w:t>
      </w:r>
    </w:p>
    <w:p>
      <w:pPr>
        <w:spacing w:after="0" w:line="198"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May 8, 2015</w:t>
      </w:r>
      <w:r>
        <w:rPr>
          <w:sz w:val="20"/>
          <w:szCs w:val="20"/>
          <w:color w:val="auto"/>
        </w:rPr>
        <w:tab/>
      </w:r>
      <w:r>
        <w:rPr>
          <w:rFonts w:ascii="Arial" w:cs="Arial" w:eastAsia="Arial" w:hAnsi="Arial"/>
          <w:sz w:val="16"/>
          <w:szCs w:val="16"/>
          <w:color w:val="auto"/>
        </w:rPr>
        <w:t>By:  /s/ Jay R. Luly,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Jay R. Luly, Ph.D.</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Dated: May 8, 2015</w:t>
      </w:r>
      <w:r>
        <w:rPr>
          <w:sz w:val="20"/>
          <w:szCs w:val="20"/>
          <w:color w:val="auto"/>
        </w:rPr>
        <w:tab/>
      </w:r>
      <w:r>
        <w:rPr>
          <w:rFonts w:ascii="Arial" w:cs="Arial" w:eastAsia="Arial" w:hAnsi="Arial"/>
          <w:sz w:val="17"/>
          <w:szCs w:val="17"/>
          <w:color w:val="auto"/>
        </w:rPr>
        <w:t>By:  /s/ Paul J. Mellett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Paul J. Mellett</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1."/>
      <w:numFmt w:val="decimal"/>
      <w:start w:val="1"/>
    </w:lvl>
  </w:abstractNum>
  <w:abstractNum w:abstractNumId="3">
    <w:nsid w:val="2463B9EA"/>
    <w:multiLevelType w:val="hybridMultilevel"/>
    <w:lvl w:ilvl="0">
      <w:lvlJc w:val="left"/>
      <w:lvlText w:val="%1."/>
      <w:numFmt w:val="decimal"/>
      <w:start w:val="2"/>
    </w:lvl>
  </w:abstractNum>
  <w:abstractNum w:abstractNumId="4">
    <w:nsid w:val="5E884ADC"/>
    <w:multiLevelType w:val="hybridMultilevel"/>
    <w:lvl w:ilvl="0">
      <w:lvlJc w:val="left"/>
      <w:lvlText w:val="%1."/>
      <w:numFmt w:val="decimal"/>
      <w:start w:val="3"/>
    </w:lvl>
  </w:abstractNum>
  <w:abstractNum w:abstractNumId="5">
    <w:nsid w:val="51EAD36B"/>
    <w:multiLevelType w:val="hybridMultilevel"/>
    <w:lvl w:ilvl="0">
      <w:lvlJc w:val="left"/>
      <w:lvlText w:val="%1."/>
      <w:numFmt w:val="decimal"/>
      <w:start w:val="4"/>
    </w:lvl>
  </w:abstractNum>
  <w:abstractNum w:abstractNumId="6">
    <w:nsid w:val="2D517796"/>
    <w:multiLevelType w:val="hybridMultilevel"/>
    <w:lvl w:ilvl="0">
      <w:lvlJc w:val="left"/>
      <w:lvlText w:val="%1."/>
      <w:numFmt w:val="decimal"/>
      <w:start w:val="5"/>
    </w:lvl>
  </w:abstractNum>
  <w:abstractNum w:abstractNumId="7">
    <w:nsid w:val="580BD78F"/>
    <w:multiLevelType w:val="hybridMultilevel"/>
    <w:lvl w:ilvl="0">
      <w:lvlJc w:val="left"/>
      <w:lvlText w:val="%1."/>
      <w:numFmt w:val="decimal"/>
      <w:start w:val="6"/>
    </w:lvl>
  </w:abstractNum>
  <w:abstractNum w:abstractNumId="8">
    <w:nsid w:val="153EA438"/>
    <w:multiLevelType w:val="hybridMultilevel"/>
    <w:lvl w:ilvl="0">
      <w:lvlJc w:val="left"/>
      <w:lvlText w:val="%1."/>
      <w:numFmt w:val="decimal"/>
      <w:start w:val="7"/>
    </w:lvl>
  </w:abstractNum>
  <w:abstractNum w:abstractNumId="9">
    <w:nsid w:val="3855585C"/>
    <w:multiLevelType w:val="hybridMultilevel"/>
    <w:lvl w:ilvl="0">
      <w:lvlJc w:val="left"/>
      <w:lvlText w:val="%1."/>
      <w:numFmt w:val="decimal"/>
      <w:start w:val="8"/>
    </w:lvl>
  </w:abstractNum>
  <w:abstractNum w:abstractNumId="10">
    <w:nsid w:val="70A64E2A"/>
    <w:multiLevelType w:val="hybridMultilevel"/>
    <w:lvl w:ilvl="0">
      <w:lvlJc w:val="left"/>
      <w:lvlText w:val="%1."/>
      <w:numFmt w:val="decimal"/>
      <w:start w:val="9"/>
    </w:lvl>
  </w:abstractNum>
  <w:abstractNum w:abstractNumId="11">
    <w:nsid w:val="6A2342EC"/>
    <w:multiLevelType w:val="hybridMultilevel"/>
    <w:lvl w:ilvl="0">
      <w:lvlJc w:val="left"/>
      <w:lvlText w:val="%1."/>
      <w:numFmt w:val="decimal"/>
      <w:start w:val="10"/>
    </w:lvl>
  </w:abstractNum>
  <w:abstractNum w:abstractNumId="12">
    <w:nsid w:val="2A487CB0"/>
    <w:multiLevelType w:val="hybridMultilevel"/>
    <w:lvl w:ilvl="0">
      <w:lvlJc w:val="left"/>
      <w:lvlText w:val="%1."/>
      <w:numFmt w:val="decimal"/>
      <w:start w:val="1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
      <w:numFmt w:val="bullet"/>
      <w:start w:val="1"/>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1)"/>
      <w:numFmt w:val="lowerLetter"/>
      <w:start w:val="1"/>
    </w:lvl>
  </w:abstractNum>
  <w:abstractNum w:abstractNumId="18">
    <w:nsid w:val="4B588F54"/>
    <w:multiLevelType w:val="hybridMultilevel"/>
    <w:lvl w:ilvl="0">
      <w:lvlJc w:val="left"/>
      <w:lvlText w:val="%1)"/>
      <w:numFmt w:val="lowerLetter"/>
      <w:start w:val="2"/>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
      <w:numFmt w:val="bullet"/>
      <w:start w:val="1"/>
    </w:lvl>
  </w:abstractNum>
  <w:abstractNum w:abstractNumId="35">
    <w:nsid w:val="4F4EF005"/>
    <w:multiLevelType w:val="hybridMultilevel"/>
    <w:lvl w:ilvl="0">
      <w:lvlJc w:val="left"/>
      <w:lvlText w:val="•"/>
      <w:numFmt w:val="bullet"/>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1"/>
      <w:numFmt w:val="decimal"/>
      <w:start w:val="101"/>
    </w:lvl>
  </w:abstractNum>
  <w:abstractNum w:abstractNumId="39">
    <w:nsid w:val="39386575"/>
    <w:multiLevelType w:val="hybridMultilevel"/>
    <w:lvl w:ilvl="0">
      <w:lvlJc w:val="left"/>
      <w:lvlText w:val="%1."/>
      <w:numFmt w:val="decimal"/>
      <w:start w:val="1"/>
    </w:lvl>
  </w:abstractNum>
  <w:abstractNum w:abstractNumId="40">
    <w:nsid w:val="1CF10FD8"/>
    <w:multiLevelType w:val="hybridMultilevel"/>
    <w:lvl w:ilvl="0">
      <w:lvlJc w:val="left"/>
      <w:lvlText w:val="%1."/>
      <w:numFmt w:val="decimal"/>
      <w:start w:val="4"/>
    </w:lvl>
  </w:abstractNum>
  <w:abstractNum w:abstractNumId="41">
    <w:nsid w:val="180115BE"/>
    <w:multiLevelType w:val="hybridMultilevel"/>
    <w:lvl w:ilvl="0">
      <w:lvlJc w:val="left"/>
      <w:lvlText w:val="%1."/>
      <w:numFmt w:val="decimal"/>
      <w:start w:val="1"/>
    </w:lvl>
    <w:lvl w:ilvl="1">
      <w:lvlJc w:val="left"/>
      <w:lvlText w:val="(%2)"/>
      <w:numFmt w:val="lowerRoman"/>
      <w:start w:val="2"/>
    </w:lvl>
  </w:abstractNum>
  <w:abstractNum w:abstractNumId="42">
    <w:nsid w:val="235BA861"/>
    <w:multiLevelType w:val="hybridMultilevel"/>
    <w:lvl w:ilvl="0">
      <w:lvlJc w:val="left"/>
      <w:lvlText w:val="%1."/>
      <w:numFmt w:val="decimal"/>
      <w:start w:val="3"/>
    </w:lvl>
  </w:abstractNum>
  <w:abstractNum w:abstractNumId="43">
    <w:nsid w:val="47398C89"/>
    <w:multiLevelType w:val="hybridMultilevel"/>
    <w:lvl w:ilvl="0">
      <w:lvlJc w:val="left"/>
      <w:lvlText w:val="%1."/>
      <w:numFmt w:val="decimal"/>
      <w:start w:val="4"/>
    </w:lvl>
  </w:abstractNum>
  <w:abstractNum w:abstractNumId="44">
    <w:nsid w:val="354FE9F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5">
    <w:nsid w:val="15B5AF5C"/>
    <w:multiLevelType w:val="hybridMultilevel"/>
    <w:lvl w:ilvl="0">
      <w:lvlJc w:val="left"/>
      <w:lvlText w:val="%1."/>
      <w:numFmt w:val="decimal"/>
      <w:start w:val="6"/>
    </w:lvl>
  </w:abstractNum>
  <w:abstractNum w:abstractNumId="46">
    <w:nsid w:val="741226BB"/>
    <w:multiLevelType w:val="hybridMultilevel"/>
    <w:lvl w:ilvl="0">
      <w:lvlJc w:val="left"/>
      <w:lvlText w:val="%1."/>
      <w:numFmt w:val="decimal"/>
      <w:start w:val="7"/>
    </w:lvl>
  </w:abstractNum>
  <w:abstractNum w:abstractNumId="47">
    <w:nsid w:val="D34B6A8"/>
    <w:multiLevelType w:val="hybridMultilevel"/>
    <w:lvl w:ilvl="0">
      <w:lvlJc w:val="left"/>
      <w:lvlText w:val="%1."/>
      <w:numFmt w:val="decimal"/>
      <w:start w:val="8"/>
    </w:lvl>
  </w:abstractNum>
  <w:abstractNum w:abstractNumId="48">
    <w:nsid w:val="10233C99"/>
    <w:multiLevelType w:val="hybridMultilevel"/>
    <w:lvl w:ilvl="0">
      <w:lvlJc w:val="left"/>
      <w:lvlText w:val="%1."/>
      <w:numFmt w:val="decimal"/>
      <w:start w:val="11"/>
    </w:lvl>
    <w:lvl w:ilvl="1">
      <w:lvlJc w:val="left"/>
      <w:lvlText w:val="%2."/>
      <w:numFmt w:val="lowerLetter"/>
      <w:start w:val="1"/>
    </w:lvl>
  </w:abstractNum>
  <w:abstractNum w:abstractNumId="49">
    <w:nsid w:val="3F6AB60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0">
    <w:nsid w:val="61574095"/>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51">
    <w:nsid w:val="7E0C57B1"/>
    <w:multiLevelType w:val="hybridMultilevel"/>
    <w:lvl w:ilvl="0">
      <w:lvlJc w:val="left"/>
      <w:lvlText w:val="%1."/>
      <w:numFmt w:val="decimal"/>
      <w:start w:val="12"/>
    </w:lvl>
    <w:lvl w:ilvl="1">
      <w:lvlJc w:val="left"/>
      <w:lvlText w:val="%2."/>
      <w:numFmt w:val="lowerLetter"/>
      <w:start w:val="1"/>
    </w:lvl>
    <w:lvl w:ilvl="2">
      <w:lvlJc w:val="left"/>
      <w:lvlText w:val="%3"/>
      <w:numFmt w:val="lowerRoman"/>
      <w:start w:val="1"/>
    </w:lvl>
  </w:abstractNum>
  <w:abstractNum w:abstractNumId="52">
    <w:nsid w:val="77AE35EB"/>
    <w:multiLevelType w:val="hybridMultilevel"/>
    <w:lvl w:ilvl="0">
      <w:lvlJc w:val="left"/>
      <w:lvlText w:val="%1."/>
      <w:numFmt w:val="decimal"/>
      <w:start w:val="1"/>
    </w:lvl>
  </w:abstractNum>
  <w:abstractNum w:abstractNumId="53">
    <w:nsid w:val="579BE4F1"/>
    <w:multiLevelType w:val="hybridMultilevel"/>
    <w:lvl w:ilvl="0">
      <w:lvlJc w:val="left"/>
      <w:lvlText w:val="(%1)"/>
      <w:numFmt w:val="lowerLetter"/>
      <w:start w:val="1"/>
    </w:lvl>
  </w:abstractNum>
  <w:abstractNum w:abstractNumId="54">
    <w:nsid w:val="310C50B3"/>
    <w:multiLevelType w:val="hybridMultilevel"/>
    <w:lvl w:ilvl="0">
      <w:lvlJc w:val="left"/>
      <w:lvlText w:val="%1."/>
      <w:numFmt w:val="decimal"/>
      <w:start w:val="2"/>
    </w:lvl>
  </w:abstractNum>
  <w:abstractNum w:abstractNumId="55">
    <w:nsid w:val="5FF87E05"/>
    <w:multiLevelType w:val="hybridMultilevel"/>
    <w:lvl w:ilvl="0">
      <w:lvlJc w:val="left"/>
      <w:lvlText w:val="(%1)"/>
      <w:numFmt w:val="lowerLetter"/>
      <w:start w:val="1"/>
    </w:lvl>
  </w:abstractNum>
  <w:abstractNum w:abstractNumId="56">
    <w:nsid w:val="2F305DEF"/>
    <w:multiLevelType w:val="hybridMultilevel"/>
    <w:lvl w:ilvl="0">
      <w:lvlJc w:val="left"/>
      <w:lvlText w:val="(%1)"/>
      <w:numFmt w:val="lowerLetter"/>
      <w:start w:val="2"/>
    </w:lvl>
  </w:abstractNum>
  <w:abstractNum w:abstractNumId="57">
    <w:nsid w:val="25A70BF7"/>
    <w:multiLevelType w:val="hybridMultilevel"/>
    <w:lvl w:ilvl="0">
      <w:lvlJc w:val="left"/>
      <w:lvlText w:val="%1."/>
      <w:numFmt w:val="decimal"/>
      <w:start w:val="3"/>
    </w:lvl>
  </w:abstractNum>
  <w:abstractNum w:abstractNumId="58">
    <w:nsid w:val="1DBABF00"/>
    <w:multiLevelType w:val="hybridMultilevel"/>
    <w:lvl w:ilvl="0">
      <w:lvlJc w:val="left"/>
      <w:lvlText w:val="(%1)"/>
      <w:numFmt w:val="lowerLetter"/>
      <w:start w:val="1"/>
    </w:lvl>
  </w:abstractNum>
  <w:abstractNum w:abstractNumId="59">
    <w:nsid w:val="4AD084E9"/>
    <w:multiLevelType w:val="hybridMultilevel"/>
    <w:lvl w:ilvl="0">
      <w:lvlJc w:val="left"/>
      <w:lvlText w:val="(%1)"/>
      <w:numFmt w:val="lowerLetter"/>
      <w:start w:val="3"/>
    </w:lvl>
  </w:abstractNum>
  <w:abstractNum w:abstractNumId="60">
    <w:nsid w:val="1F48EAA1"/>
    <w:multiLevelType w:val="hybridMultilevel"/>
    <w:lvl w:ilvl="0">
      <w:lvlJc w:val="left"/>
      <w:lvlText w:val="%1."/>
      <w:numFmt w:val="decimal"/>
      <w:start w:val="4"/>
    </w:lvl>
  </w:abstractNum>
  <w:abstractNum w:abstractNumId="61">
    <w:nsid w:val="1381823A"/>
    <w:multiLevelType w:val="hybridMultilevel"/>
    <w:lvl w:ilvl="0">
      <w:lvlJc w:val="left"/>
      <w:lvlText w:val="(%1)"/>
      <w:numFmt w:val="lowerLetter"/>
      <w:start w:val="1"/>
    </w:lvl>
  </w:abstractNum>
  <w:abstractNum w:abstractNumId="62">
    <w:nsid w:val="5DB70AE5"/>
    <w:multiLevelType w:val="hybridMultilevel"/>
    <w:lvl w:ilvl="0">
      <w:lvlJc w:val="left"/>
      <w:lvlText w:val="%1."/>
      <w:numFmt w:val="decimal"/>
      <w:start w:val="5"/>
    </w:lvl>
  </w:abstractNum>
  <w:abstractNum w:abstractNumId="63">
    <w:nsid w:val="100F8FCA"/>
    <w:multiLevelType w:val="hybridMultilevel"/>
    <w:lvl w:ilvl="0">
      <w:lvlJc w:val="left"/>
      <w:lvlText w:val="(%1)"/>
      <w:numFmt w:val="lowerLetter"/>
      <w:start w:val="1"/>
    </w:lvl>
  </w:abstractNum>
  <w:abstractNum w:abstractNumId="64">
    <w:nsid w:val="6590700B"/>
    <w:multiLevelType w:val="hybridMultilevel"/>
    <w:lvl w:ilvl="0">
      <w:lvlJc w:val="left"/>
      <w:lvlText w:val="%1."/>
      <w:numFmt w:val="decimal"/>
      <w:start w:val="1"/>
    </w:lvl>
  </w:abstractNum>
  <w:abstractNum w:abstractNumId="65">
    <w:nsid w:val="15014ACB"/>
    <w:multiLevelType w:val="hybridMultilevel"/>
    <w:lvl w:ilvl="0">
      <w:lvlJc w:val="left"/>
      <w:lvlText w:val="(%1)"/>
      <w:numFmt w:val="lowerLetter"/>
      <w:start w:val="3"/>
    </w:lvl>
  </w:abstractNum>
  <w:abstractNum w:abstractNumId="66">
    <w:nsid w:val="5F5E7FD0"/>
    <w:multiLevelType w:val="hybridMultilevel"/>
    <w:lvl w:ilvl="0">
      <w:lvlJc w:val="left"/>
      <w:lvlText w:val="%1."/>
      <w:numFmt w:val="decimal"/>
      <w:start w:val="6"/>
    </w:lvl>
  </w:abstractNum>
  <w:abstractNum w:abstractNumId="67">
    <w:nsid w:val="98A3148"/>
    <w:multiLevelType w:val="hybridMultilevel"/>
    <w:lvl w:ilvl="0">
      <w:lvlJc w:val="left"/>
      <w:lvlText w:val="(%1)"/>
      <w:numFmt w:val="lowerLetter"/>
      <w:start w:val="1"/>
    </w:lvl>
  </w:abstractNum>
  <w:abstractNum w:abstractNumId="68">
    <w:nsid w:val="799D0247"/>
    <w:multiLevelType w:val="hybridMultilevel"/>
    <w:lvl w:ilvl="0">
      <w:lvlJc w:val="left"/>
      <w:lvlText w:val="%1."/>
      <w:numFmt w:val="decimal"/>
      <w:start w:val="7"/>
    </w:lvl>
  </w:abstractNum>
  <w:abstractNum w:abstractNumId="69">
    <w:nsid w:val="6B94764"/>
    <w:multiLevelType w:val="hybridMultilevel"/>
    <w:lvl w:ilvl="0">
      <w:lvlJc w:val="left"/>
      <w:lvlText w:val="(%1)"/>
      <w:numFmt w:val="lowerLetter"/>
      <w:start w:val="1"/>
    </w:lvl>
  </w:abstractNum>
  <w:abstractNum w:abstractNumId="70">
    <w:nsid w:val="42C296BD"/>
    <w:multiLevelType w:val="hybridMultilevel"/>
    <w:lvl w:ilvl="0">
      <w:lvlJc w:val="left"/>
      <w:lvlText w:val="(%1)"/>
      <w:numFmt w:val="lowerLetter"/>
      <w:start w:val="2"/>
    </w:lvl>
  </w:abstractNum>
  <w:abstractNum w:abstractNumId="71">
    <w:nsid w:val="168E121F"/>
    <w:multiLevelType w:val="hybridMultilevel"/>
    <w:lvl w:ilvl="0">
      <w:lvlJc w:val="left"/>
      <w:lvlText w:val="%1."/>
      <w:numFmt w:val="decimal"/>
      <w:start w:val="1"/>
    </w:lvl>
    <w:lvl w:ilvl="1">
      <w:lvlJc w:val="left"/>
      <w:lvlText w:val="(%2)"/>
      <w:numFmt w:val="lowerLetter"/>
      <w:start w:val="1"/>
    </w:lvl>
  </w:abstractNum>
  <w:abstractNum w:abstractNumId="72">
    <w:nsid w:val="1EBA5D23"/>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2019-12-29T17:07:29Z</dcterms:created>
  <dcterms:modified xsi:type="dcterms:W3CDTF">2019-12-29T17:07:29Z</dcterms:modified>
</cp:coreProperties>
</file>