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p>
      <w:pPr>
        <w:ind w:left="520" w:right="40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2860" w:type="dxa"/>
            <w:vAlign w:val="bottom"/>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92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52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20" w:type="dxa"/>
            <w:vAlign w:val="bottom"/>
          </w:tcPr>
          <w:p>
            <w:pPr>
              <w:jc w:val="center"/>
              <w:ind w:left="10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2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Arsenal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95"/>
        </w:trPr>
        <w:tc>
          <w:tcPr>
            <w:tcW w:w="3840" w:type="dxa"/>
            <w:vAlign w:val="bottom"/>
            <w:tcBorders>
              <w:left w:val="single" w:sz="8" w:color="auto"/>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tcPr>
          <w:p>
            <w:pPr>
              <w:spacing w:after="0"/>
              <w:rPr>
                <w:sz w:val="8"/>
                <w:szCs w:val="8"/>
                <w:color w:val="auto"/>
              </w:rPr>
            </w:pPr>
          </w:p>
        </w:tc>
        <w:tc>
          <w:tcPr>
            <w:tcW w:w="4080" w:type="dxa"/>
            <w:vAlign w:val="bottom"/>
            <w:tcBorders>
              <w:bottom w:val="single" w:sz="8" w:color="auto"/>
              <w:right w:val="single" w:sz="8" w:color="auto"/>
            </w:tcBorders>
          </w:tcPr>
          <w:p>
            <w:pPr>
              <w:spacing w:after="0"/>
              <w:rPr>
                <w:sz w:val="8"/>
                <w:szCs w:val="8"/>
                <w:color w:val="auto"/>
              </w:rPr>
            </w:pPr>
          </w:p>
        </w:tc>
      </w:tr>
      <w:tr>
        <w:trPr>
          <w:trHeight w:val="277"/>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ENTA</w:t>
            </w: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81"/>
        </w:trPr>
        <w:tc>
          <w:tcPr>
            <w:tcW w:w="3840" w:type="dxa"/>
            <w:vAlign w:val="bottom"/>
            <w:tcBorders>
              <w:left w:val="single" w:sz="8" w:color="auto"/>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bl>
    <w:p>
      <w:pPr>
        <w:spacing w:after="0" w:line="49" w:lineRule="exact"/>
        <w:rPr>
          <w:sz w:val="24"/>
          <w:szCs w:val="24"/>
          <w:color w:val="auto"/>
        </w:rPr>
      </w:pPr>
    </w:p>
    <w:p>
      <w:pPr>
        <w:ind w:right="2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60" w:val="left"/>
          <w:tab w:leader="none" w:pos="126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56" w:lineRule="exact"/>
        <w:rPr>
          <w:sz w:val="24"/>
          <w:szCs w:val="24"/>
          <w:color w:val="auto"/>
        </w:rPr>
      </w:pPr>
    </w:p>
    <w:p>
      <w:pPr>
        <w:ind w:right="16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760" w:right="1380" w:hanging="242"/>
        <w:spacing w:after="0" w:line="273"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30, 2019, the registrant had 19,681,609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18"/>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60" w:type="dxa"/>
            <w:vAlign w:val="bottom"/>
            <w:gridSpan w:val="18"/>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Financial Statements</w:t>
              </w:r>
            </w:hyperlink>
          </w:p>
        </w:tc>
        <w:tc>
          <w:tcPr>
            <w:tcW w:w="76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Balance Sheets</w:t>
              </w:r>
            </w:hyperlink>
          </w:p>
        </w:tc>
        <w:tc>
          <w:tcPr>
            <w:tcW w:w="72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Comprehensive Income</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5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Consolidated Statements of Cash Flows</w:t>
              </w:r>
            </w:hyperlink>
          </w:p>
        </w:tc>
        <w:tc>
          <w:tcPr>
            <w:tcW w:w="64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Notes to Consolidated Financial Statements</w:t>
              </w:r>
            </w:hyperlink>
          </w:p>
        </w:tc>
        <w:tc>
          <w:tcPr>
            <w:tcW w:w="61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58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642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4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CFF0FC"/>
            </w:tcBorders>
          </w:tcPr>
          <w:p>
            <w:pPr>
              <w:spacing w:after="0"/>
              <w:rPr>
                <w:sz w:val="15"/>
                <w:szCs w:val="15"/>
                <w:color w:val="auto"/>
              </w:rPr>
            </w:pPr>
          </w:p>
        </w:tc>
        <w:tc>
          <w:tcPr>
            <w:tcW w:w="642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473,484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8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 19,682 and</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19,395 shares issued and outstanding at June 30, 2019 and</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September 30, 2018, respectively</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473,484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Pr>
          <w:p>
            <w:pPr>
              <w:spacing w:after="0"/>
              <w:rPr>
                <w:sz w:val="19"/>
                <w:szCs w:val="19"/>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Milestones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3"/>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40,612</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123,577</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(12,704)</w:t>
            </w:r>
          </w:p>
        </w:tc>
        <w:tc>
          <w:tcPr>
            <w:tcW w:w="0" w:type="dxa"/>
            <w:vAlign w:val="bottom"/>
          </w:tcPr>
          <w:p>
            <w:pPr>
              <w:spacing w:after="0"/>
              <w:rPr>
                <w:sz w:val="1"/>
                <w:szCs w:val="1"/>
                <w:color w:val="auto"/>
              </w:rPr>
            </w:pPr>
          </w:p>
        </w:tc>
      </w:tr>
      <w:tr>
        <w:trPr>
          <w:trHeight w:val="26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3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3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tcPr>
          <w:p>
            <w:pPr>
              <w:spacing w:after="0"/>
              <w:rPr>
                <w:sz w:val="19"/>
                <w:szCs w:val="19"/>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7,036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gains (losses) on marketable securities, net of tax of</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$56, $76, $179 and ($159)</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52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7,211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20" w:type="dxa"/>
            <w:vAlign w:val="bottom"/>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19,120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256,241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45,356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301,676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adjustment for adoption of new</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accounting guidance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260,752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57,094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317,579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(1,756)</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19,260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264,354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69,649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333,402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2018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19,360</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89,937</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20" w:type="dxa"/>
            <w:vAlign w:val="bottom"/>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19,395</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276,526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117,357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393,679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19,435</w:t>
            </w:r>
          </w:p>
        </w:tc>
        <w:tc>
          <w:tcPr>
            <w:tcW w:w="22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283,530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143,368</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426,835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(4,188)</w:t>
            </w: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c>
          <w:tcPr>
            <w:tcW w:w="22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197</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288,512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147,513</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436,210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19,682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197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293,188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154,549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448,097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1740" w:type="dxa"/>
            <w:vAlign w:val="bottom"/>
            <w:gridSpan w:val="2"/>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37,192</w:t>
            </w:r>
          </w:p>
        </w:tc>
        <w:tc>
          <w:tcPr>
            <w:tcW w:w="160" w:type="dxa"/>
            <w:vAlign w:val="bottom"/>
          </w:tcPr>
          <w:p>
            <w:pPr>
              <w:spacing w:after="0"/>
              <w:rPr>
                <w:sz w:val="19"/>
                <w:szCs w:val="19"/>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Accretion of discount on marketable securities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Change in fair value of warrant liability and Series 1 nonconvertible preferred stock</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Accounts receivable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(46,648)</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(13,193)</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(5,868)</w:t>
            </w:r>
          </w:p>
        </w:tc>
        <w:tc>
          <w:tcPr>
            <w:tcW w:w="0" w:type="dxa"/>
            <w:vAlign w:val="bottom"/>
          </w:tcPr>
          <w:p>
            <w:pPr>
              <w:spacing w:after="0"/>
              <w:rPr>
                <w:sz w:val="1"/>
                <w:szCs w:val="1"/>
                <w:color w:val="auto"/>
              </w:rPr>
            </w:pPr>
          </w:p>
        </w:tc>
      </w:tr>
      <w:tr>
        <w:trPr>
          <w:trHeight w:val="229"/>
        </w:trPr>
        <w:tc>
          <w:tcPr>
            <w:tcW w:w="70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Accounts payable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Accrued expenses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Income taxes payable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(9,298)</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0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(353,382)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(179,076)</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324,047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(2,358)</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6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(34,456)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(27,453)</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warrants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(1,757)</w:t>
            </w: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Payments of capital lease obligations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(23,198)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8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7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94,814</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7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12,615</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information:</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Purchases of fixed assets included in accounts payable and accrued expenses</w:t>
            </w:r>
          </w:p>
        </w:tc>
        <w:tc>
          <w:tcPr>
            <w:tcW w:w="17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which is marketed as part of AbbVie’s direct-acting antiviral (DAA) regimen under the tradenames MAVYRET™ (U.S.) or MAVIRET™ (ex-U.S.) (glecaprevir/pibrentasvir) for the treatment of chronic hepatitis C virus, or HCV. Royalties from the Company’s AbbVie collaboration and its existing financial resources provide funding to support its wholly-owned research and development programs, which are currently focused on the following disease targets: respiratory syncytial virus (“RSV”); non-alcoholic steatohepatitis (“NASH”); primary biliary cholangitis (“PBC”); and hepatitis B virus (“HBV”).</w:t>
      </w:r>
    </w:p>
    <w:p>
      <w:pPr>
        <w:spacing w:after="0" w:line="2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consolidated balance sheet at September 30, 2018 was derived from audited financial statements, but does not include all disclosures required by accounting principles generally accepted in the United States of America (“GAAP”). The accompanying unaudited consolidated financial statements as of June 30, 2019 and for the three and nine months ended June 30,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2018.</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June 30, 2019 and results of operations for the three and nine months ended June 30, 2019 and 2018 and cash flows for the nine months ended June 30, 2019 and 2018, have been made. The results of operations for the nine months ended June 30, 2019 are not necessarily indicative of the results of operations that may be expected for subsequent quarters or the year ending September 30, 2019.</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w:t>
      </w:r>
    </w:p>
    <w:p>
      <w:pPr>
        <w:spacing w:after="0" w:line="26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auto"/>
        </w:rPr>
        <w:t>For the Company’s Significant Accounting Policies, please refer to its Annual Report on Form 10-K for the fiscal year ended September 30, 2018. Other than the adoption of ASC 606 as of October 1, 2018, there were no other significant changes to the Company’s Significant Accounting Policies during the quarter.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the accrual of research and development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right="520"/>
        <w:spacing w:after="0" w:line="282" w:lineRule="auto"/>
        <w:rPr>
          <w:sz w:val="20"/>
          <w:szCs w:val="20"/>
          <w:color w:val="auto"/>
        </w:rPr>
      </w:pPr>
      <w:r>
        <w:rPr>
          <w:rFonts w:ascii="Times New Roman" w:cs="Times New Roman" w:eastAsia="Times New Roman" w:hAnsi="Times New Roman"/>
          <w:sz w:val="18"/>
          <w:szCs w:val="18"/>
          <w:color w:val="auto"/>
        </w:rPr>
        <w:t>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 2018, the Company adopted the new revenue standard, discussed below,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The Company applied the guidance in ASC 606 to its one ongoing collaboration agreement under which it is eligible to earn sales-based royalties and will apply the guidance to qualifying arrangements entered into after October 1, 2018. The Company recognizes revenue related to the sales-based royalties in the period in which the underlying sales occur based on actual sales as communicated by the licensee. The license is deemed to be the predominant item to which the royalties relate.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and has since issued several additional amendments thereto, collectively referred to herein as ASC 606, which supersedes the revenue recognition requirements in ASC 605-25, </w:t>
      </w:r>
      <w:r>
        <w:rPr>
          <w:rFonts w:ascii="Times New Roman" w:cs="Times New Roman" w:eastAsia="Times New Roman" w:hAnsi="Times New Roman"/>
          <w:sz w:val="18"/>
          <w:szCs w:val="18"/>
          <w:i w:val="1"/>
          <w:iCs w:val="1"/>
          <w:color w:val="auto"/>
        </w:rPr>
        <w:t xml:space="preserve">Multiple-Element Arrangements </w:t>
      </w:r>
      <w:r>
        <w:rPr>
          <w:rFonts w:ascii="Times New Roman" w:cs="Times New Roman" w:eastAsia="Times New Roman" w:hAnsi="Times New Roman"/>
          <w:sz w:val="18"/>
          <w:szCs w:val="18"/>
          <w:color w:val="auto"/>
        </w:rPr>
        <w:t>and most industry-specific guidance. The new standard requires that an entity recognize revenue to depict the transfer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Companies have the option of applying this new guidance retrospectively to each prior reporting period presented or retrospectively with the cumulative effect of initially applying this update recognized at the date of initial application. This guidance was effective for the Company in the fiscal year beginning October 1, 2018. The Company adopted ASC 606 as of October 1, 2018 using the modified retrospective transition method. The adoption did not have an impact on its financial statements as the Company had satisfied its performance obligations under its one open revenue contract in fiscal 2011, prior to the adoption of ASC</w:t>
      </w:r>
    </w:p>
    <w:p>
      <w:pPr>
        <w:spacing w:after="0" w:line="8" w:lineRule="exact"/>
        <w:rPr>
          <w:sz w:val="20"/>
          <w:szCs w:val="20"/>
          <w:color w:val="auto"/>
        </w:rPr>
      </w:pPr>
    </w:p>
    <w:p>
      <w:pPr>
        <w:ind w:right="100" w:firstLine="8"/>
        <w:spacing w:after="0" w:line="261"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this guidance did not have an impact on the Company’s accounting for royalty payments as the Company receives sales-based royalties for which the license is deemed to be the predominant item to which the royalties relate.</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(“ASU 2018-07”) which aligns the accounting treatment of stock awards granted to nonemployee consultants to those granted to employees. The Company early adopted the amendment as of April 1, 2019. The adoption of ASU 2018-07 did not have an impact on its consolidated financial statements since the Company did not have any outstanding nonemployee consultant stock awards prior to April 1, 2019.</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was effective for the Company in the fiscal year beginning October 1, 2018. The Company adopted ASU 2016-18 retrospectively as of October 1, 2018. Upon the adoption of ASU 2016-18, the amount of cash and cash equivalents previously presented in the consolidated statements of cash flows for the nine months ended June 30, 2018 increased by $608 as of beginning and end of the period to reflect the inclusion of restricted cash in the amount reported for changes in cash, cash equivalents and restricted cash.</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(“ASU 2017-09”) which provides updated guidance about changes to the terms or conditions of a share-based payment award that requires companies to apply modification accounting under Topic 718. This amendment was effective for the Company in the fiscal year beginning October 1, 2018. The Company adopted ASU 2017-09 as of October 1, 2018. The adoption of ASU 2017-09 did not have an impact on its consolidated financial statements.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The Company is currently evaluating the potential impact that ASU 2016-02 may have on its financial position and results of operations.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 w:name="page10"/>
    <w:bookmarkEnd w:id="9"/>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Receivables—Nonrefundable Fees and Other Costs (Subtopic 310-20): Premium Amortization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Purchased Callable Debt Securities </w:t>
      </w:r>
      <w:r>
        <w:rPr>
          <w:rFonts w:ascii="Times New Roman" w:cs="Times New Roman" w:eastAsia="Times New Roman" w:hAnsi="Times New Roman"/>
          <w:sz w:val="18"/>
          <w:szCs w:val="18"/>
          <w:color w:val="auto"/>
        </w:rPr>
        <w:t>(“ASU 2017-08”) which requires companies to amend the amortization period for premiums on debt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6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June 30, 2019 and September 30, 2018 and indicate the fair value hierarchy of the valuation inputs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2019 Using:</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9"/>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2018 Using:</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64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gridSpan w:val="2"/>
            <w:shd w:val="clear" w:color="auto" w:fill="CFF2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460" w:type="dxa"/>
            <w:vAlign w:val="bottom"/>
            <w:gridSpan w:val="2"/>
            <w:shd w:val="clear" w:color="auto" w:fill="CFF2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2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spacing w:after="0"/>
              <w:rPr>
                <w:sz w:val="19"/>
                <w:szCs w:val="19"/>
                <w:color w:val="auto"/>
              </w:rPr>
            </w:pPr>
          </w:p>
        </w:tc>
        <w:tc>
          <w:tcPr>
            <w:tcW w:w="10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spacing w:after="0"/>
              <w:rPr>
                <w:sz w:val="19"/>
                <w:szCs w:val="19"/>
                <w:color w:val="auto"/>
              </w:rPr>
            </w:pPr>
          </w:p>
        </w:tc>
        <w:tc>
          <w:tcPr>
            <w:tcW w:w="10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240" w:type="dxa"/>
            <w:vAlign w:val="bottom"/>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spacing w:after="0"/>
              <w:rPr>
                <w:sz w:val="19"/>
                <w:szCs w:val="19"/>
                <w:color w:val="auto"/>
              </w:rPr>
            </w:pPr>
          </w:p>
        </w:tc>
        <w:tc>
          <w:tcPr>
            <w:tcW w:w="9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spacing w:after="0"/>
              <w:rPr>
                <w:sz w:val="19"/>
                <w:szCs w:val="19"/>
                <w:color w:val="auto"/>
              </w:rPr>
            </w:pPr>
          </w:p>
        </w:tc>
        <w:tc>
          <w:tcPr>
            <w:tcW w:w="98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120" w:type="dxa"/>
            <w:vAlign w:val="bottom"/>
            <w:shd w:val="clear" w:color="auto" w:fill="CFF2FC"/>
          </w:tcPr>
          <w:p>
            <w:pPr>
              <w:spacing w:after="0"/>
              <w:rPr>
                <w:sz w:val="19"/>
                <w:szCs w:val="19"/>
                <w:color w:val="auto"/>
              </w:rPr>
            </w:pPr>
          </w:p>
        </w:tc>
      </w:tr>
      <w:tr>
        <w:trPr>
          <w:trHeight w:val="263"/>
        </w:trPr>
        <w:tc>
          <w:tcPr>
            <w:tcW w:w="3640" w:type="dxa"/>
            <w:vAlign w:val="bottom"/>
            <w:tcBorders>
              <w:bottom w:val="single" w:sz="8" w:color="CFF2FC"/>
            </w:tcBorders>
          </w:tcPr>
          <w:p>
            <w:pPr>
              <w:spacing w:after="0"/>
              <w:rPr>
                <w:sz w:val="22"/>
                <w:szCs w:val="22"/>
                <w:color w:val="auto"/>
              </w:rPr>
            </w:pPr>
          </w:p>
        </w:tc>
        <w:tc>
          <w:tcPr>
            <w:tcW w:w="800" w:type="dxa"/>
            <w:vAlign w:val="bottom"/>
            <w:tcBorders>
              <w:bottom w:val="single" w:sz="8" w:color="CFF2FC"/>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93,728</w:t>
            </w:r>
          </w:p>
        </w:tc>
        <w:tc>
          <w:tcPr>
            <w:tcW w:w="240" w:type="dxa"/>
            <w:vAlign w:val="bottom"/>
            <w:tcBorders>
              <w:bottom w:val="single" w:sz="8" w:color="CFF2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229,499</w:t>
            </w:r>
          </w:p>
        </w:tc>
        <w:tc>
          <w:tcPr>
            <w:tcW w:w="240" w:type="dxa"/>
            <w:vAlign w:val="bottom"/>
            <w:tcBorders>
              <w:bottom w:val="single" w:sz="8" w:color="CFF2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2FC"/>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323,227</w:t>
            </w:r>
          </w:p>
        </w:tc>
        <w:tc>
          <w:tcPr>
            <w:tcW w:w="120" w:type="dxa"/>
            <w:vAlign w:val="bottom"/>
            <w:tcBorders>
              <w:bottom w:val="single" w:sz="8" w:color="CFF2FC"/>
            </w:tcBorders>
          </w:tcPr>
          <w:p>
            <w:pPr>
              <w:spacing w:after="0"/>
              <w:rPr>
                <w:sz w:val="22"/>
                <w:szCs w:val="22"/>
                <w:color w:val="auto"/>
              </w:rPr>
            </w:pPr>
          </w:p>
        </w:tc>
      </w:tr>
      <w:tr>
        <w:trPr>
          <w:trHeight w:val="210"/>
        </w:trPr>
        <w:tc>
          <w:tcPr>
            <w:tcW w:w="364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10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10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360" w:type="dxa"/>
            <w:vAlign w:val="bottom"/>
            <w:shd w:val="clear" w:color="auto" w:fill="CFF2FC"/>
          </w:tcPr>
          <w:p>
            <w:pPr>
              <w:spacing w:after="0"/>
              <w:rPr>
                <w:sz w:val="18"/>
                <w:szCs w:val="18"/>
                <w:color w:val="auto"/>
              </w:rPr>
            </w:pPr>
          </w:p>
        </w:tc>
        <w:tc>
          <w:tcPr>
            <w:tcW w:w="9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280" w:type="dxa"/>
            <w:vAlign w:val="bottom"/>
            <w:shd w:val="clear" w:color="auto" w:fill="CFF2FC"/>
          </w:tcPr>
          <w:p>
            <w:pPr>
              <w:spacing w:after="0"/>
              <w:rPr>
                <w:sz w:val="18"/>
                <w:szCs w:val="18"/>
                <w:color w:val="auto"/>
              </w:rPr>
            </w:pPr>
          </w:p>
        </w:tc>
        <w:tc>
          <w:tcPr>
            <w:tcW w:w="980" w:type="dxa"/>
            <w:vAlign w:val="bottom"/>
            <w:shd w:val="clear" w:color="auto" w:fill="CFF2FC"/>
          </w:tcPr>
          <w:p>
            <w:pPr>
              <w:spacing w:after="0"/>
              <w:rPr>
                <w:sz w:val="18"/>
                <w:szCs w:val="18"/>
                <w:color w:val="auto"/>
              </w:rPr>
            </w:pPr>
          </w:p>
        </w:tc>
        <w:tc>
          <w:tcPr>
            <w:tcW w:w="120" w:type="dxa"/>
            <w:vAlign w:val="bottom"/>
            <w:shd w:val="clear" w:color="auto" w:fill="CFF2FC"/>
          </w:tcPr>
          <w:p>
            <w:pPr>
              <w:spacing w:after="0"/>
              <w:rPr>
                <w:sz w:val="18"/>
                <w:szCs w:val="18"/>
                <w:color w:val="auto"/>
              </w:rPr>
            </w:pPr>
          </w:p>
        </w:tc>
      </w:tr>
      <w:tr>
        <w:trPr>
          <w:trHeight w:val="230"/>
        </w:trPr>
        <w:tc>
          <w:tcPr>
            <w:tcW w:w="3640" w:type="dxa"/>
            <w:vAlign w:val="bottom"/>
            <w:tcBorders>
              <w:bottom w:val="single" w:sz="8" w:color="CFF2FC"/>
            </w:tcBorders>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800" w:type="dxa"/>
            <w:vAlign w:val="bottom"/>
            <w:tcBorders>
              <w:bottom w:val="single" w:sz="8" w:color="CFF2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2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2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FF2FC"/>
            </w:tcBorders>
          </w:tcPr>
          <w:p>
            <w:pPr>
              <w:spacing w:after="0"/>
              <w:rPr>
                <w:sz w:val="19"/>
                <w:szCs w:val="19"/>
                <w:color w:val="auto"/>
              </w:rPr>
            </w:pPr>
          </w:p>
        </w:tc>
      </w:tr>
      <w:tr>
        <w:trPr>
          <w:trHeight w:val="223"/>
        </w:trPr>
        <w:tc>
          <w:tcPr>
            <w:tcW w:w="3640" w:type="dxa"/>
            <w:vAlign w:val="bottom"/>
            <w:tcBorders>
              <w:bottom w:val="single" w:sz="8" w:color="CFF2FC"/>
            </w:tcBorders>
            <w:shd w:val="clear" w:color="auto" w:fill="CFF2FC"/>
          </w:tcPr>
          <w:p>
            <w:pPr>
              <w:spacing w:after="0"/>
              <w:rPr>
                <w:sz w:val="19"/>
                <w:szCs w:val="19"/>
                <w:color w:val="auto"/>
              </w:rPr>
            </w:pPr>
          </w:p>
        </w:tc>
        <w:tc>
          <w:tcPr>
            <w:tcW w:w="800" w:type="dxa"/>
            <w:vAlign w:val="bottom"/>
            <w:tcBorders>
              <w:bottom w:val="single" w:sz="8" w:color="CFF2FC"/>
            </w:tcBorders>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FF2FC"/>
            </w:tcBorders>
            <w:shd w:val="clear" w:color="auto" w:fill="CFF2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June 30, 2019 and 2018, there were no transfers between Level 1, Level 2 and Level 3.</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(for the period the warrants were outstanding) and Series 1 nonconvertible preferred stock are recognized in other income, net in the consolidated statements of operations.</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r>
      <w:tr>
        <w:trPr>
          <w:trHeight w:val="254"/>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9"/>
        </w:trPr>
        <w:tc>
          <w:tcPr>
            <w:tcW w:w="20" w:type="dxa"/>
            <w:vAlign w:val="bottom"/>
          </w:tcPr>
          <w:p>
            <w:pPr>
              <w:spacing w:after="0"/>
              <w:rPr>
                <w:sz w:val="17"/>
                <w:szCs w:val="17"/>
                <w:color w:val="auto"/>
              </w:rPr>
            </w:pPr>
          </w:p>
        </w:tc>
        <w:tc>
          <w:tcPr>
            <w:tcW w:w="49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2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0%-70%</w:t>
            </w:r>
          </w:p>
        </w:tc>
      </w:tr>
      <w:tr>
        <w:trPr>
          <w:trHeight w:val="234"/>
        </w:trPr>
        <w:tc>
          <w:tcPr>
            <w:tcW w:w="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bl>
    <w:p>
      <w:pPr>
        <w:spacing w:after="0" w:line="200" w:lineRule="exact"/>
        <w:rPr>
          <w:sz w:val="20"/>
          <w:szCs w:val="20"/>
          <w:color w:val="auto"/>
        </w:rPr>
      </w:pPr>
    </w:p>
    <w:p>
      <w:pPr>
        <w:spacing w:after="0" w:line="20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Company’s outstanding Series 1 nonconvertible preferred stock for which fair value is determined by Level 3 inputs: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Series 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2018</w:t>
            </w: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6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nonconvertible preferred stock</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June 30, 2019</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1" w:name="page12"/>
    <w:bookmarkEnd w:id="11"/>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and September 30, 2018, the fair value of available-for-sale marketable securities, which approximates carrying value, was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2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2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2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FF0FC"/>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261,791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September 30, 2018, marketable securities consisted of short-term marketable securities, which are investments that mature within one year, and long-term marketable securities, with an aggregate fair value of $16,389. The long-term marketable securities consisted of certain corporate bonds and U.S. Treasury notes that had maturities of more than one year but not more than three years. There were no long-term marketable securities as of June 30, 2019.</w:t>
      </w:r>
    </w:p>
    <w:p>
      <w:pPr>
        <w:spacing w:after="0" w:line="280" w:lineRule="exact"/>
        <w:rPr>
          <w:sz w:val="20"/>
          <w:szCs w:val="20"/>
          <w:color w:val="auto"/>
        </w:rPr>
      </w:pPr>
    </w:p>
    <w:p>
      <w:pPr>
        <w:ind w:left="800" w:hanging="792"/>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as well as other long-term liabilities, consisted of the following as of June 30, 2019 and September 30,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80" w:type="dxa"/>
            <w:vAlign w:val="bottom"/>
            <w:gridSpan w:val="4"/>
          </w:tcPr>
          <w:p>
            <w:pPr>
              <w:jc w:val="right"/>
              <w:ind w:right="109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Accrued preclinical and clinical expenses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Accrued vendor manufacturing</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3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rent expense</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3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2" w:name="page13"/>
    <w:bookmarkEnd w:id="12"/>
    <w:p>
      <w:pPr>
        <w:ind w:right="8160" w:firstLine="8"/>
        <w:spacing w:after="0" w:line="503" w:lineRule="auto"/>
        <w:tabs>
          <w:tab w:leader="none" w:pos="51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Ongoing Collaboration Agreements AbbVie Collaboration</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$826,000 through June 30, 2019. Since the Company satisfied all of its performance obligations under the AbbVie Agreement by the end of fiscal 2011, all milestone payments received since then have been recognized as revenue when the milestones were achieved by AbbVie. During the nine months ended June 30, 2018, the Company earned and recognized milestone revenue of $15,000 upon AbbVie’s achievement of commercialization regulatory approval in Japan for MAVIRET™, the final milestone payment under this agreement. As of October 1, 2018, the adoption date of ASC 606, there were no remaining milestone payments to be earned under this agreement.</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also receiving annually tiered royalties per Company protease inhibitor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8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27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June 30, 2019, 1,931 shares of Series 1 nonconvertible preferred stock were issued and outstanding. Since these shares qualify as a derivative, the outstanding shares are carried at fair value as a liability on the Company’s consolidated balance sheet.</w:t>
      </w:r>
    </w:p>
    <w:p>
      <w:pPr>
        <w:spacing w:after="0" w:line="26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and unit awards under its 2019 Equity Incentive Plan (the “2019 Plan”), which was approved by our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June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Outstanding as of September 30, 2018</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00" w:type="dxa"/>
            <w:vAlign w:val="bottom"/>
            <w:gridSpan w:val="2"/>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Outstanding as of June 30, 2019</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4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Borders>
              <w:top w:val="single" w:sz="8" w:color="CFF2FC"/>
              <w:bottom w:val="single" w:sz="8" w:color="CFF2FC"/>
            </w:tcBorders>
            <w:shd w:val="clear" w:color="auto" w:fill="CFF2FC"/>
          </w:tcPr>
          <w:p>
            <w:pPr>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June 30, 2019</w:t>
            </w:r>
          </w:p>
        </w:tc>
        <w:tc>
          <w:tcPr>
            <w:tcW w:w="13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40" w:type="dxa"/>
            <w:vAlign w:val="bottom"/>
            <w:tcBorders>
              <w:top w:val="single" w:sz="8" w:color="CFF2FC"/>
              <w:bottom w:val="single" w:sz="8" w:color="CFF2FC"/>
            </w:tcBorders>
            <w:shd w:val="clear" w:color="auto" w:fill="CFF2FC"/>
          </w:tcPr>
          <w:p>
            <w:pPr>
              <w:spacing w:after="0"/>
              <w:rPr>
                <w:sz w:val="18"/>
                <w:szCs w:val="18"/>
                <w:color w:val="auto"/>
              </w:rPr>
            </w:pPr>
          </w:p>
        </w:tc>
        <w:tc>
          <w:tcPr>
            <w:tcW w:w="280" w:type="dxa"/>
            <w:vAlign w:val="bottom"/>
            <w:tcBorders>
              <w:top w:val="single" w:sz="8" w:color="CFF2FC"/>
              <w:bottom w:val="single" w:sz="8" w:color="CFF2FC"/>
            </w:tcBorders>
            <w:gridSpan w:val="2"/>
            <w:shd w:val="clear" w:color="auto" w:fill="CFF2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2FC"/>
              <w:bottom w:val="single" w:sz="8" w:color="CFF2FC"/>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tcBorders>
              <w:top w:val="single" w:sz="8" w:color="CFF2FC"/>
              <w:bottom w:val="single" w:sz="8" w:color="CFF2FC"/>
            </w:tcBorders>
            <w:shd w:val="clear" w:color="auto" w:fill="CFF2FC"/>
          </w:tcPr>
          <w:p>
            <w:pPr>
              <w:spacing w:after="0"/>
              <w:rPr>
                <w:sz w:val="18"/>
                <w:szCs w:val="18"/>
                <w:color w:val="auto"/>
              </w:rPr>
            </w:pPr>
          </w:p>
        </w:tc>
        <w:tc>
          <w:tcPr>
            <w:tcW w:w="1240" w:type="dxa"/>
            <w:vAlign w:val="bottom"/>
            <w:tcBorders>
              <w:top w:val="single" w:sz="8" w:color="CFF2FC"/>
              <w:bottom w:val="single" w:sz="8" w:color="CFF2FC"/>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top w:val="single" w:sz="8" w:color="CFF2FC"/>
              <w:bottom w:val="single" w:sz="8" w:color="CFF2FC"/>
            </w:tcBorders>
            <w:gridSpan w:val="2"/>
            <w:shd w:val="clear" w:color="auto" w:fill="CFF2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2FC"/>
              <w:bottom w:val="single" w:sz="8" w:color="CFF2FC"/>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115,641</w:t>
            </w:r>
          </w:p>
        </w:tc>
        <w:tc>
          <w:tcPr>
            <w:tcW w:w="100" w:type="dxa"/>
            <w:vAlign w:val="bottom"/>
            <w:tcBorders>
              <w:top w:val="single" w:sz="8" w:color="CFF2FC"/>
              <w:bottom w:val="single" w:sz="8" w:color="CFF2FC"/>
            </w:tcBorders>
            <w:shd w:val="clear" w:color="auto" w:fill="CFF2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Options exercisable as of June 30, 2019</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90,091</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based on the targeted number of shares for the year-to-date period ending June 30, 2019:</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3"/>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PSUs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80" w:type="dxa"/>
            <w:vAlign w:val="bottom"/>
            <w:gridSpan w:val="2"/>
            <w:vMerge w:val="continue"/>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90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50.97</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67.13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35.89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49.20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at June 30, 2019</w:t>
            </w: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90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73.02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2019, a total of 80% of the target PSUs and 200% of the target rTSRUs granted in January 2017 vested, resulting in the issuance of an aggregate of 77 common shares, net of share withholding.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June 30, 2019:</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2018</w:t>
            </w:r>
          </w:p>
        </w:tc>
        <w:tc>
          <w:tcPr>
            <w:tcW w:w="32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4"/>
        </w:trPr>
        <w:tc>
          <w:tcPr>
            <w:tcW w:w="4780" w:type="dxa"/>
            <w:vAlign w:val="bottom"/>
            <w:vMerge w:val="continue"/>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at June 30, 2019</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June 30, 2019 and 2018, the Company recognized the following stock-based compensation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20" w:type="dxa"/>
            <w:vAlign w:val="bottom"/>
          </w:tcPr>
          <w:p>
            <w:pPr>
              <w:spacing w:after="0"/>
              <w:rPr>
                <w:sz w:val="15"/>
                <w:szCs w:val="15"/>
                <w:color w:val="auto"/>
              </w:rPr>
            </w:pPr>
          </w:p>
        </w:tc>
      </w:tr>
      <w:tr>
        <w:trPr>
          <w:trHeight w:val="173"/>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r>
      <w:tr>
        <w:trPr>
          <w:trHeight w:val="169"/>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720" w:type="dxa"/>
            <w:vAlign w:val="bottom"/>
          </w:tcPr>
          <w:p>
            <w:pPr>
              <w:spacing w:after="0"/>
              <w:rPr>
                <w:sz w:val="14"/>
                <w:szCs w:val="14"/>
                <w:color w:val="auto"/>
              </w:rPr>
            </w:pPr>
          </w:p>
        </w:tc>
      </w:tr>
      <w:tr>
        <w:trPr>
          <w:trHeight w:val="151"/>
        </w:trPr>
        <w:tc>
          <w:tcPr>
            <w:tcW w:w="1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center"/>
              <w:ind w:left="319"/>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34"/>
        </w:trPr>
        <w:tc>
          <w:tcPr>
            <w:tcW w:w="51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8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72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72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4" w:name="page15"/>
    <w:bookmarkEnd w:id="14"/>
    <w:tbl>
      <w:tblPr>
        <w:tblLayout w:type="fixed"/>
        <w:tblInd w:w="172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4"/>
                <w:szCs w:val="14"/>
                <w:color w:val="auto"/>
              </w:rPr>
            </w:pPr>
          </w:p>
        </w:tc>
      </w:tr>
      <w:tr>
        <w:trPr>
          <w:trHeight w:val="151"/>
        </w:trPr>
        <w:tc>
          <w:tcPr>
            <w:tcW w:w="2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center"/>
              <w:ind w:left="338"/>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8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60" w:type="dxa"/>
            <w:vAlign w:val="bottom"/>
          </w:tcPr>
          <w:p>
            <w:pPr>
              <w:spacing w:after="0"/>
              <w:rPr>
                <w:sz w:val="20"/>
                <w:szCs w:val="20"/>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shd w:val="clear" w:color="auto" w:fill="CFF0FC"/>
          </w:tcPr>
          <w:p>
            <w:pPr>
              <w:spacing w:after="0"/>
              <w:rPr>
                <w:sz w:val="19"/>
                <w:szCs w:val="19"/>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rTSRUs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tcPr>
          <w:p>
            <w:pPr>
              <w:spacing w:after="0"/>
              <w:rPr>
                <w:sz w:val="19"/>
                <w:szCs w:val="19"/>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shd w:val="clear" w:color="auto" w:fill="CFF0FC"/>
          </w:tcPr>
          <w:p>
            <w:pPr>
              <w:spacing w:after="0"/>
              <w:rPr>
                <w:sz w:val="19"/>
                <w:szCs w:val="19"/>
                <w:color w:val="auto"/>
              </w:rPr>
            </w:pPr>
          </w:p>
        </w:tc>
      </w:tr>
      <w:tr>
        <w:trPr>
          <w:trHeight w:val="223"/>
        </w:trPr>
        <w:tc>
          <w:tcPr>
            <w:tcW w:w="2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60" w:type="dxa"/>
            <w:vAlign w:val="bottom"/>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2019 and 2018, the Company recognized stock-based compensation expense for PSUs and performance-based options upon achievement of performance-based targets that occurred during their respective periods.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2019, the Company had an aggregate of $42,275 of unrecognized stock-based compensation cost, which is expected to be recognized over a weighted average period of 2.6 years.</w:t>
      </w:r>
    </w:p>
    <w:p>
      <w:pPr>
        <w:spacing w:after="0" w:line="26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share attributable to common stockholders was calculated as follows for the three and nine months ended June 30, 2019 and 2018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4"/>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5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7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Net income per share common share—basic</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5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7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Net income per share common share—diluted</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Anti-dilutive common stock equivalents excluded from above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2019 and 2018, the Company recorded an income tax benefit of $866 and income tax (expense) of $(3,690), respectively, both of which were attributable to the Company’s domestic operations. During the three months ended June 30, 2019, the Company recorded an income tax benefit, despite its pre-tax income, due to a federal income tax benefit from foreign-derived royalty income. For the nine months ended June 30, 2019 and 2018, the Company recorded an income tax benefit of $340 and income tax (expense) of ($12,704), respectively, representing effective tax rates of (0.9%) and 22.2%, respectively. The effective tax rate for the nine months ended June 30, 2019 differs from the federal statutory rate of 21.0% due to federal research and development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5" w:name="page16"/>
    <w:bookmarkEnd w:id="15"/>
    <w:p>
      <w:pPr>
        <w:ind w:right="120"/>
        <w:spacing w:after="0" w:line="258" w:lineRule="auto"/>
        <w:rPr>
          <w:sz w:val="20"/>
          <w:szCs w:val="20"/>
          <w:color w:val="auto"/>
        </w:rPr>
      </w:pPr>
      <w:r>
        <w:rPr>
          <w:rFonts w:ascii="Times New Roman" w:cs="Times New Roman" w:eastAsia="Times New Roman" w:hAnsi="Times New Roman"/>
          <w:sz w:val="18"/>
          <w:szCs w:val="18"/>
          <w:color w:val="auto"/>
        </w:rPr>
        <w:t>tax credits, a federal tax benefit from foreign-derived royalty income, and tax deductions from employee stock award-related activity during the year, all of which reduced the effective tax rate below the federal rate. The effective tax rate for the nine months ended June 30, 2018 differed from the blended federal statutory rate of 24.5% due to federal research and development tax credits and tax deductions from employee stock-award related activity during 2018. The effective tax rate also includes a revaluation adjustment against deferred tax assets of ($3,859) due to a decrease in the federal corporate income tax rate as enacted under the U.S. Tax Cuts and Jobs Act (the “Tax Act”).</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2015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No adjustments have been proposed to date. The Company has not received notice of examination by any other jurisdictions for any other tax year open under statute.</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had an unrecognized tax benefit of $1,865 and $1,792 as of June 30, 2019 and September 30, 2018, respectively. Unrecognized tax benefits represent tax positions for which reserves have been established. The Company’s policy is to record interest and penalties related to uncertain tax positions as part of its income tax provision.</w:t>
      </w:r>
    </w:p>
    <w:p>
      <w:pPr>
        <w:spacing w:after="0" w:line="280"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leases for office and laboratory space located in Watertown, Massachusetts that expire in September 2022 and August 2024. Free rent and payment escalations specified in the lease agreements are accrued such that rent expense is recognized on a straight-line basis over the term of occupancy. The Company recorded rent expense of $1,869 and $1,519 for the nine months ended June 30, 2019 and 2018, respectively.</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one of the leases, the Company has an outstanding letter of credit in the amount of $608 as of June 30, 2019 and September 30, 2018, collateralized by a money market account. As of June 30, 2019 and September 30, 2018, the Company classified the $608 related to the money market account as long-term restricted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results of operations or cash flows, and it has not accrued any liabilities related to such obligations in its financial statements as of June 30, 2019.</w:t>
      </w:r>
    </w:p>
    <w:p>
      <w:pPr>
        <w:sectPr>
          <w:pgSz w:w="11900" w:h="16838" w:orient="portrait"/>
          <w:cols w:equalWidth="0" w:num="1">
            <w:col w:w="10460"/>
          </w:cols>
          <w:pgMar w:left="240" w:top="553" w:right="119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60"/>
          </w:cols>
          <w:pgMar w:left="240" w:top="553" w:right="1199" w:bottom="1440" w:gutter="0" w:footer="0" w:header="0"/>
          <w:type w:val="continuous"/>
        </w:sectPr>
      </w:pPr>
    </w:p>
    <w:bookmarkStart w:id="17" w:name="page18"/>
    <w:bookmarkEnd w:id="1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2018 included in our Annual Report on Form 10-K for that fiscal year which is referred to as our 2018 Form 10-K. Please refer to our note regarding forward-looking statements on page 2 of this Form 10-Q, which is incorporated herein by this reference.</w:t>
      </w:r>
    </w:p>
    <w:p>
      <w:pPr>
        <w:spacing w:after="0" w:line="7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newest direct-acting antiviral (DAA) combination and marketed under the tradenames MAVYRET™ (U.S.) or MAVIRET™ (ex-U.S.) (glecaprevir/pibrentasvir). Our royalties from our AbbVie collaboration and our existing financial resources provide us funding to support our wholly-owned research and development programs, which are currently focused on the following disease targets:</w:t>
      </w:r>
    </w:p>
    <w:p>
      <w:pPr>
        <w:spacing w:after="0" w:line="80" w:lineRule="exact"/>
        <w:rPr>
          <w:sz w:val="20"/>
          <w:szCs w:val="20"/>
          <w:color w:val="auto"/>
        </w:rPr>
      </w:pPr>
    </w:p>
    <w:p>
      <w:pPr>
        <w:ind w:left="1040" w:hanging="519"/>
        <w:spacing w:after="0" w:line="289"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respiratory syncytial virus, or RSV, infection is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50" w:lineRule="exact"/>
        <w:rPr>
          <w:rFonts w:ascii="Times New Roman" w:cs="Times New Roman" w:eastAsia="Times New Roman" w:hAnsi="Times New Roman"/>
          <w:sz w:val="17"/>
          <w:szCs w:val="17"/>
          <w:color w:val="auto"/>
        </w:rPr>
      </w:pPr>
    </w:p>
    <w:p>
      <w:pPr>
        <w:ind w:left="1040" w:right="42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non-alcoholic steatohepatitis, or NASH, a liver disease estimated to affect approximately 1.5% to 6.5% of the population in the developed world (which translates to approximately 5 to 20 million individuals in the U.S. alone);</w:t>
      </w:r>
    </w:p>
    <w:p>
      <w:pPr>
        <w:spacing w:after="0" w:line="53"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biliary cholangitis, or PBC, a chronic liver disease that slowly destroys bile ducts in the liver and affects an estimated 17,000 individuals in the U.S.;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to affect approximately 250 million individuals worldwide.</w:t>
      </w:r>
    </w:p>
    <w:p>
      <w:pPr>
        <w:spacing w:after="0" w:line="225" w:lineRule="exact"/>
        <w:rPr>
          <w:sz w:val="20"/>
          <w:szCs w:val="20"/>
          <w:color w:val="auto"/>
        </w:rPr>
      </w:pPr>
    </w:p>
    <w:p>
      <w:pPr>
        <w:ind w:right="640"/>
        <w:spacing w:after="0" w:line="313" w:lineRule="auto"/>
        <w:rPr>
          <w:sz w:val="20"/>
          <w:szCs w:val="20"/>
          <w:color w:val="auto"/>
        </w:rPr>
      </w:pPr>
      <w:r>
        <w:rPr>
          <w:rFonts w:ascii="Times New Roman" w:cs="Times New Roman" w:eastAsia="Times New Roman" w:hAnsi="Times New Roman"/>
          <w:sz w:val="17"/>
          <w:szCs w:val="17"/>
          <w:color w:val="auto"/>
        </w:rPr>
        <w:t>We had $389.2 million in cash and marketable securities at June 30, 2019. We expect our existing financial resources and cash flows from continuing royalties on our HCV products will allow us to continue to fund our wholly-owned research and development programs for the foreseeable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wholly-owned research and development programs are in virology, namely RSV and HBV, and in liver disease (non-virology), namely NASH and PBC:</w:t>
      </w:r>
    </w:p>
    <w:p>
      <w:pPr>
        <w:spacing w:after="0" w:line="117" w:lineRule="exact"/>
        <w:rPr>
          <w:sz w:val="20"/>
          <w:szCs w:val="20"/>
          <w:color w:val="auto"/>
        </w:rPr>
      </w:pPr>
    </w:p>
    <w:p>
      <w:pPr>
        <w:ind w:left="1040" w:right="100" w:hanging="519"/>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discovered EDP-938, a potent N-protein inhibitor of activity of both major subgroups of RSV, referred to as RSV-A and RSV-B, and have tested it as our first clinical candidate for RSV. EDP-938 has been granted Fast Track designation by the U.S. Food and Drug Administration (FDA).</w:t>
      </w:r>
    </w:p>
    <w:p>
      <w:pPr>
        <w:spacing w:after="0" w:line="53" w:lineRule="exact"/>
        <w:rPr>
          <w:rFonts w:ascii="Times New Roman" w:cs="Times New Roman" w:eastAsia="Times New Roman" w:hAnsi="Times New Roman"/>
          <w:sz w:val="18"/>
          <w:szCs w:val="18"/>
          <w:color w:val="auto"/>
        </w:rPr>
      </w:pPr>
    </w:p>
    <w:p>
      <w:pPr>
        <w:ind w:left="1540" w:right="28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June 2019, we announced positive topline results from our Phase 2a human challenge study of EDP-938 in healthy adults infected with a specific strain of RSV.</w:t>
      </w:r>
    </w:p>
    <w:p>
      <w:pPr>
        <w:spacing w:after="0" w:line="53" w:lineRule="exact"/>
        <w:rPr>
          <w:rFonts w:ascii="Times New Roman" w:cs="Times New Roman" w:eastAsia="Times New Roman" w:hAnsi="Times New Roman"/>
          <w:sz w:val="18"/>
          <w:szCs w:val="18"/>
          <w:color w:val="auto"/>
        </w:rPr>
      </w:pPr>
    </w:p>
    <w:p>
      <w:pPr>
        <w:ind w:left="1540" w:right="140" w:hanging="513"/>
        <w:spacing w:after="0" w:line="26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 xml:space="preserve">Data from this study demonstrated that EDP-938 achieved a high statistically significant reduction (p=&lt;0.001) both in viral load and in resolution of clinical symptoms compared to placebo. In addition, the study showed that mean trough levels of drug achieved in study subjects were 20-40x higher than the amount of EDP-938 that has been shown in previously reported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to reduce 90% of the viral RNA in RSV-infected human cells.</w:t>
      </w:r>
    </w:p>
    <w:p>
      <w:pPr>
        <w:spacing w:after="0" w:line="71" w:lineRule="exact"/>
        <w:rPr>
          <w:rFonts w:ascii="Times New Roman" w:cs="Times New Roman" w:eastAsia="Times New Roman" w:hAnsi="Times New Roman"/>
          <w:sz w:val="18"/>
          <w:szCs w:val="18"/>
          <w:color w:val="auto"/>
        </w:rPr>
      </w:pPr>
    </w:p>
    <w:p>
      <w:pPr>
        <w:jc w:val="center"/>
        <w:ind w:left="1540" w:right="12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Overall, EDP-938 was generally well tolerated in the study and demonstrated a favorable safety profile that was comparable to placebo over 5 days of dosing through Day 28 of follow-up. There were no serious adverse events and no discontinuations of EDP-938.</w:t>
      </w:r>
    </w:p>
    <w:p>
      <w:pPr>
        <w:spacing w:after="0" w:line="53" w:lineRule="exact"/>
        <w:rPr>
          <w:rFonts w:ascii="Times New Roman" w:cs="Times New Roman" w:eastAsia="Times New Roman" w:hAnsi="Times New Roman"/>
          <w:sz w:val="18"/>
          <w:szCs w:val="18"/>
          <w:color w:val="auto"/>
        </w:rPr>
      </w:pPr>
    </w:p>
    <w:p>
      <w:pPr>
        <w:ind w:left="1540" w:right="58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Our next step in the RSV program is to initiate our first Phase 2b study of EDP-938, which will be in adult outpatients with RSV infection. Our goal is to initiate this next study before the end of calendar 2019.</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 w:name="page19"/>
    <w:bookmarkEnd w:id="18"/>
    <w:p>
      <w:pPr>
        <w:ind w:left="1540" w:right="340" w:hanging="506"/>
        <w:spacing w:after="0" w:line="264"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We believe EDP-938 is differentiated from fusion inhibitors currently in development for RSV because N-protein inhibitors directly target the viral replication process of RSV and have demonstrated high barriers to resistance against RSV </w:t>
      </w:r>
      <w:r>
        <w:rPr>
          <w:rFonts w:ascii="Times New Roman" w:cs="Times New Roman" w:eastAsia="Times New Roman" w:hAnsi="Times New Roman"/>
          <w:sz w:val="18"/>
          <w:szCs w:val="18"/>
          <w:i w:val="1"/>
          <w:iCs w:val="1"/>
          <w:color w:val="auto"/>
        </w:rPr>
        <w:t>in vitro.</w:t>
      </w:r>
    </w:p>
    <w:p>
      <w:pPr>
        <w:spacing w:after="0" w:line="68" w:lineRule="exact"/>
        <w:rPr>
          <w:rFonts w:ascii="Courier New" w:cs="Courier New" w:eastAsia="Courier New" w:hAnsi="Courier New"/>
          <w:sz w:val="18"/>
          <w:szCs w:val="18"/>
          <w:color w:val="auto"/>
        </w:rPr>
      </w:pPr>
    </w:p>
    <w:p>
      <w:pPr>
        <w:ind w:left="1040" w:right="140" w:hanging="519"/>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NASH and PBC:</w:t>
      </w:r>
      <w:r>
        <w:rPr>
          <w:rFonts w:ascii="Times New Roman" w:cs="Times New Roman" w:eastAsia="Times New Roman" w:hAnsi="Times New Roman"/>
          <w:sz w:val="18"/>
          <w:szCs w:val="18"/>
          <w:color w:val="auto"/>
        </w:rPr>
        <w:t xml:space="preserve"> We are working on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agonists designed to take advantage of increased binding interactions with the receptor. We believe this class is significantly different from other FXR agonists in clinical development.</w:t>
      </w:r>
    </w:p>
    <w:p>
      <w:pPr>
        <w:spacing w:after="0" w:line="71" w:lineRule="exact"/>
        <w:rPr>
          <w:rFonts w:ascii="Times New Roman" w:cs="Times New Roman" w:eastAsia="Times New Roman" w:hAnsi="Times New Roman"/>
          <w:sz w:val="18"/>
          <w:szCs w:val="18"/>
          <w:color w:val="auto"/>
        </w:rPr>
      </w:pPr>
    </w:p>
    <w:p>
      <w:pPr>
        <w:ind w:left="1540" w:right="60" w:hanging="506"/>
        <w:spacing w:after="0" w:line="254"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two ongoing Phase 2 clinical studies of EDP-305, one known as ARGON-1, in NASH patients, and the other, known as INTREPID, in PBC patients. In March 2019 we completed enrollment in the ARGON-1 study. Given the 12-week treatment duration in the study protocol, we expect top-line data by the end of the third quarter of calendar 2019. Enrollment in the INTREPID study is ongoing and is expected to continue into calendar 2020.</w:t>
      </w:r>
    </w:p>
    <w:p>
      <w:pPr>
        <w:spacing w:after="0" w:line="80" w:lineRule="exact"/>
        <w:rPr>
          <w:rFonts w:ascii="Courier New" w:cs="Courier New" w:eastAsia="Courier New" w:hAnsi="Courier New"/>
          <w:sz w:val="18"/>
          <w:szCs w:val="18"/>
          <w:color w:val="auto"/>
        </w:rPr>
      </w:pPr>
    </w:p>
    <w:p>
      <w:pPr>
        <w:ind w:left="1540" w:right="120" w:hanging="506"/>
        <w:spacing w:after="0" w:line="264"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EDP-305 has been granted Fast Track designation by the FDA for the treatment of NASH patients with liver fibrosis and separately for the treatment of PBC.</w:t>
      </w:r>
    </w:p>
    <w:p>
      <w:pPr>
        <w:spacing w:after="0" w:line="68" w:lineRule="exact"/>
        <w:rPr>
          <w:rFonts w:ascii="Courier New" w:cs="Courier New" w:eastAsia="Courier New" w:hAnsi="Courier New"/>
          <w:sz w:val="18"/>
          <w:szCs w:val="18"/>
          <w:color w:val="auto"/>
        </w:rPr>
      </w:pPr>
    </w:p>
    <w:p>
      <w:pPr>
        <w:ind w:left="1540" w:right="60" w:hanging="506"/>
        <w:spacing w:after="0" w:line="264"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addition, we are pursuing research in other classes of FXR agonists as well as other mechanisms that may provide therapeutic benefit in NASH, any of which could be used in combination therapies for NASH.</w:t>
      </w:r>
    </w:p>
    <w:p>
      <w:pPr>
        <w:spacing w:after="0" w:line="68" w:lineRule="exact"/>
        <w:rPr>
          <w:rFonts w:ascii="Courier New" w:cs="Courier New" w:eastAsia="Courier New" w:hAnsi="Courier New"/>
          <w:sz w:val="18"/>
          <w:szCs w:val="18"/>
          <w:color w:val="auto"/>
        </w:rPr>
      </w:pPr>
    </w:p>
    <w:p>
      <w:pPr>
        <w:ind w:left="1040" w:right="8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In July 2019, we announced initiation of a Phase 1a/1b clinical study of EDP-514, our lead core inhibitor for the treatment of hepatitis B virus (HBV), which has also been granted Fast Track designation by the FDA.</w:t>
      </w:r>
    </w:p>
    <w:p>
      <w:pPr>
        <w:spacing w:after="0" w:line="53" w:lineRule="exact"/>
        <w:rPr>
          <w:rFonts w:ascii="Times New Roman" w:cs="Times New Roman" w:eastAsia="Times New Roman" w:hAnsi="Times New Roman"/>
          <w:sz w:val="18"/>
          <w:szCs w:val="18"/>
          <w:color w:val="auto"/>
        </w:rPr>
      </w:pPr>
    </w:p>
    <w:p>
      <w:pPr>
        <w:ind w:left="1540" w:right="40" w:hanging="506"/>
        <w:spacing w:after="0" w:line="253"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randomized, double-blind, placebo-controlled Phase 1a/1b study is designed to evaluate first the safety, tolerability and pharmacokinetics (PK) of single ascending doses (SAD) and multiple ascending doses (MAD) of EDP-514 in healthy subjects, and then the antiviral activity of EDP-514 in nucleos(t)ide-reverse-transcriptase (NUC)-suppressed patients with chronic HBV infection. The study will enroll approximately 98 subjects and is designed to evaluate up to 6 dose cohorts, with EDP-514 administered orally, once daily. Following the completion of the SAD and MAD portion, the study will evaluate NUC-suppressed patients with chronic HBV infection in order to obtain safety, PK and antiviral data in that population.</w:t>
      </w:r>
    </w:p>
    <w:p>
      <w:pPr>
        <w:spacing w:after="0" w:line="77" w:lineRule="exact"/>
        <w:rPr>
          <w:rFonts w:ascii="Courier New" w:cs="Courier New" w:eastAsia="Courier New" w:hAnsi="Courier New"/>
          <w:sz w:val="18"/>
          <w:szCs w:val="18"/>
          <w:color w:val="auto"/>
        </w:rPr>
      </w:pPr>
    </w:p>
    <w:p>
      <w:pPr>
        <w:ind w:left="1540" w:hanging="506"/>
        <w:spacing w:after="0" w:line="255"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EDP-514 was selected from our lead class of HBV compounds that are characterized by potent antiviral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they are capable of preventing the establishment of cccDNA, are pan-genotypic, are active against known nucleos(t)ide resistant mutants, and are additive to synergistic with nucleoside analogs and other core inhibitors. Members of this class have also demonstrated excellent reductions in HBV titers in a chimeric mouse model with human liver cells.</w:t>
      </w:r>
    </w:p>
    <w:p>
      <w:pPr>
        <w:spacing w:after="0" w:line="78" w:lineRule="exact"/>
        <w:rPr>
          <w:rFonts w:ascii="Courier New" w:cs="Courier New" w:eastAsia="Courier New" w:hAnsi="Courier New"/>
          <w:sz w:val="18"/>
          <w:szCs w:val="18"/>
          <w:color w:val="auto"/>
        </w:rPr>
      </w:pPr>
    </w:p>
    <w:p>
      <w:pPr>
        <w:jc w:val="both"/>
        <w:ind w:left="1540" w:right="140" w:hanging="506"/>
        <w:spacing w:after="0" w:line="257" w:lineRule="auto"/>
        <w:tabs>
          <w:tab w:leader="none" w:pos="1540" w:val="left"/>
        </w:tabs>
        <w:numPr>
          <w:ilvl w:val="1"/>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-4193540</wp:posOffset>
            </wp:positionV>
            <wp:extent cx="556577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5775" cy="12890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Through our Collaborative Development and License Agreement with AbbVie, we have discovered and out-licensed to AbbVie two protease inhibitor compounds that have been clinically tested, manufactured, and commercialized by AbbVie. To date, we have earned all $330.0 million milestone payments under the agreement related to clinical development and commercialization regulatory approvals of these regimens in major markets.</w:t>
      </w:r>
    </w:p>
    <w:p>
      <w:pPr>
        <w:spacing w:after="0" w:line="68" w:lineRule="exact"/>
        <w:rPr>
          <w:sz w:val="20"/>
          <w:szCs w:val="20"/>
          <w:color w:val="auto"/>
        </w:rPr>
      </w:pPr>
    </w:p>
    <w:p>
      <w:pPr>
        <w:ind w:left="1040" w:right="220" w:hanging="519"/>
        <w:spacing w:after="0" w:line="25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Glecaprevir:</w:t>
      </w:r>
      <w:r>
        <w:rPr>
          <w:rFonts w:ascii="Times New Roman" w:cs="Times New Roman" w:eastAsia="Times New Roman" w:hAnsi="Times New Roman"/>
          <w:sz w:val="18"/>
          <w:szCs w:val="18"/>
          <w:color w:val="auto"/>
        </w:rPr>
        <w:t xml:space="preserve"> Glecaprevir is the protease inhibitor we discovered that was developed by AbbVie in a fixed-dose combination with its NS5A inhibitor, pibrentasvir, for the treatment of HCV. This combination, currently marketed under the brand names MAVYRET™ (U.S.) and MAVIRET™ (ex-U.S.) and referred to in this report as MAVYRET/MAVIRET, is a novel, once daily, all oral, fixed-dose, ribavirin-free treatment for HCV genotypes 1-6, or GT1-6, which is referred to as being pan-genotypic. In the U.S., EU and Japan it was approved as an 8-week treatment for patients without cirrhosis and new to treatment. Today, these patients are estimated to represent the majority of HCV patients in developed country markets.</w:t>
      </w:r>
    </w:p>
    <w:p>
      <w:pPr>
        <w:spacing w:after="0" w:line="79" w:lineRule="exact"/>
        <w:rPr>
          <w:rFonts w:ascii="Times New Roman" w:cs="Times New Roman" w:eastAsia="Times New Roman" w:hAnsi="Times New Roman"/>
          <w:sz w:val="18"/>
          <w:szCs w:val="18"/>
          <w:color w:val="auto"/>
        </w:rPr>
      </w:pPr>
    </w:p>
    <w:p>
      <w:pPr>
        <w:ind w:left="10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and the annual royalty tiers return to the lowest tier for sales on and after each January 1.</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9" w:name="page20"/>
    <w:bookmarkEnd w:id="19"/>
    <w:p>
      <w:pPr>
        <w:ind w:left="1040" w:hanging="519"/>
        <w:spacing w:after="0" w:line="25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Paritaprevir</w:t>
      </w:r>
      <w:r>
        <w:rPr>
          <w:rFonts w:ascii="Times New Roman" w:cs="Times New Roman" w:eastAsia="Times New Roman" w:hAnsi="Times New Roman"/>
          <w:sz w:val="18"/>
          <w:szCs w:val="18"/>
          <w:color w:val="auto"/>
        </w:rPr>
        <w:t>: Paritaprevir is the protease inhibitor contained in AbbVie’s initial HCV treatment regimens sold under the tradenames VIEKIRAX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(ex-U.S.) and VIEKIRA PAK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(paritaprevir/ritonavir/ ombitasvir/dasabuvir). These regimens are no longer being actively marketed in regions where MAVYRET/MAVIRET is approved and reimbursed. AbbVie’s paritaprevir-containing regimens were first approved and sold in the U.S. in December 2014. Through our 2017 fiscal year end, our royalty revenues were generated substantially through worldwide net sales of these regimens.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65850" cy="4793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65850" cy="479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towards the discovery and development of novel compounds for the treatment of viral infections and liver diseases. In fiscal 2018, we initiated two Phase 2 studies of EDP-305, one in PBC patients, known as the INTREPID study, and one in NASH patients, known as the ARGON-1 study. We also initiated a Phase 2a clinical study of our lead RSV candidate, EDP-938, the topline results of which were reported in June 2019. In July 2019, we announced initiation of a Phase 1a/1b study of EDP-514 for the treatment of HBV. As a result of these efforts as well as efforts to advance other compounds into preclinical development, we expect to incur substantially greater expenses in fiscal 2019 as we continue to advance our RSV, NASH/PBC and HBV programs.</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now funding our operations through payments received under our collaboration agreement with AbbVie. Our revenue from our collaboration agreement has resulted in our reporting net income in each of our past nine fiscal years. Our revenue is primarily dependent on royalty payments we receive from AbbVie on its sales of MAVYRET/MAVIRET.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AbbVie’s MAVYRET/MAVIRET regimen, which in the majority of chronic HCV patients only requires 8 weeks of treatment compared to 12 weeks with other HCV regimens, has become the leading HCV treatment in the U.S. and in several other market geographies in developed countries where it is approved. However, the market for HCV therapies remains very dynamic in several jurisdictions and we cannot predict how that market will continue to evolve.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Given the uncertainty regarding the level of AbbVie’s future MAVYRET/MAVIRET sales that will generate our royalty revenue and the development risks affecting the extent and timing of our future expenditures for the advancement of our internally developed compounds, it is uncertain whether we will continue to report net income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revenue is derived from our collaboration agreement with AbbVie. For the periods shown below, substantially all our royalty revenues are now derived from sales of MAVYRET/MAVIRET, which has replaced AbbVie’s first HCV regimens in all its major HCV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from our collaboration agreement for the three and nine months ended June 30, 2019 and 2018:</w:t>
      </w: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138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44,367</w:t>
            </w: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900" w:type="dxa"/>
            <w:vAlign w:val="bottom"/>
            <w:gridSpan w:val="3"/>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Milestones</w:t>
            </w:r>
          </w:p>
        </w:tc>
        <w:tc>
          <w:tcPr>
            <w:tcW w:w="6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Pr>
          <w:p>
            <w:pPr>
              <w:spacing w:after="0"/>
              <w:rPr>
                <w:sz w:val="19"/>
                <w:szCs w:val="19"/>
                <w:color w:val="auto"/>
              </w:rPr>
            </w:pPr>
          </w:p>
        </w:tc>
        <w:tc>
          <w:tcPr>
            <w:tcW w:w="780" w:type="dxa"/>
            <w:vAlign w:val="bottom"/>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44,367</w:t>
            </w:r>
          </w:p>
        </w:tc>
        <w:tc>
          <w:tcPr>
            <w:tcW w:w="3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320" w:type="dxa"/>
            <w:vAlign w:val="bottom"/>
          </w:tcPr>
          <w:p>
            <w:pPr>
              <w:spacing w:after="0"/>
              <w:rPr>
                <w:sz w:val="19"/>
                <w:szCs w:val="19"/>
                <w:color w:val="auto"/>
              </w:rPr>
            </w:pP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340" w:type="dxa"/>
            <w:vAlign w:val="bottom"/>
            <w:gridSpan w:val="2"/>
          </w:tcPr>
          <w:p>
            <w:pPr>
              <w:spacing w:after="0"/>
              <w:rPr>
                <w:sz w:val="19"/>
                <w:szCs w:val="19"/>
                <w:color w:val="auto"/>
              </w:rPr>
            </w:pPr>
          </w:p>
        </w:tc>
        <w:tc>
          <w:tcPr>
            <w:tcW w:w="56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Agreement</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Since all of our research obligations under the AbbVie agreement were concluded by June 30, 2011, all milestone payments received since then have been recognized as revenue upon achievement of each milestone by AbbVie. Additionally, during the three months ended December 31, 2017, we earned and recognized as revenue the last milestone payment for glecaprevir, which was a $15.0 million milestone payment upon AbbVie’s achievement of commercialization regulatory approval of MAVIRET™ in Japan. There are no further milestones available to be earned under our AbbVie agreement.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receive annually tiered, double-digit royalties per protease inhibitor product on AbbVie’s net sales allocable to either of our collaboration’s protease inhibitor products.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all of our revenue in fiscal 2019 to be generated from our collaboration agreement with AbbVie.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and nine months ended June 30, 2019 and 2018:</w:t>
      </w:r>
    </w:p>
    <w:p>
      <w:pPr>
        <w:spacing w:after="0" w:line="200" w:lineRule="exact"/>
        <w:rPr>
          <w:sz w:val="20"/>
          <w:szCs w:val="20"/>
          <w:color w:val="auto"/>
        </w:rPr>
      </w:pP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3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5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67,933</w:t>
            </w: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80" w:type="dxa"/>
            <w:vAlign w:val="bottom"/>
          </w:tcPr>
          <w:p>
            <w:pPr>
              <w:spacing w:after="0"/>
              <w:rPr>
                <w:sz w:val="19"/>
                <w:szCs w:val="19"/>
                <w:color w:val="auto"/>
              </w:rPr>
            </w:pPr>
          </w:p>
        </w:tc>
      </w:tr>
      <w:tr>
        <w:trPr>
          <w:trHeight w:val="223"/>
        </w:trPr>
        <w:tc>
          <w:tcPr>
            <w:tcW w:w="34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40" w:right="9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RSV, NASH, PBC and HBV programs.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income, net, consists of interest income, interest expense and the change in fair value of our outstanding Series 1 nonconvertible preferred stock and, during the periods the Series 1 nonconvertible preferred stock warrants were outstanding, the change in fair value of our warrant liability.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Income tax (expense) benefit is based on our best estimate of applicable income tax rates, net research and development tax credits and deferred income taxes, for the entire fiscal year applied to pre-tax profit or loss reported for the year-to-date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FF2FC"/>
          </w:tcPr>
          <w:p>
            <w:pPr>
              <w:spacing w:after="0"/>
              <w:rPr>
                <w:sz w:val="19"/>
                <w:szCs w:val="19"/>
                <w:color w:val="auto"/>
              </w:rPr>
            </w:pPr>
          </w:p>
        </w:tc>
        <w:tc>
          <w:tcPr>
            <w:tcW w:w="920" w:type="dxa"/>
            <w:vAlign w:val="bottom"/>
            <w:tcBorders>
              <w:right w:val="single" w:sz="8" w:color="CFF2FC"/>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(3,690)</w:t>
            </w:r>
          </w:p>
        </w:tc>
      </w:tr>
      <w:tr>
        <w:trPr>
          <w:trHeight w:val="58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2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revenue is generated through our collaboration with AbbVie. Our collaboration’s MAVYRET/MAVIRET regimen, a pan-genotypic treatment combining two DAAs, began commercialization in the third calendar quarter of 2017, following its approval in the EU and the U.S.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recognized revenue of $44.4 million during the three months ended June 30, 2019 as compared to $57.3 million during the three months ended June 30, 2018. AbbVie has reported that its HCV net sales decreased during the three months ended June 30, 2019 as compared to the same period in 2018 primarily due to lower HCV net sales in select international markets. Overall, the lower net sales reported thus far in the 2019 period are consistent with AbbVie’s updated guidance for the full calendar year that its HCV sales will approach $3.1 billion as compared to the reported full calendar year 2018 HCV sales of $3.6 billion. Our royalty rate on those sales continues to increase throughout the calendar year because the calculation of royalties earned resets at the lowest royalty tier at the beginning of each calendar year. For the quarter ended June 30, 2019, our blended royalty rate of approximately 12% reflected the first three royalty tiers under our collaboration of 10%, 12% and 14%.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Liver disease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6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by $6.0 million for the three months ended June 30, 2019 as compared to the same period in 2018. The increase was primarily due to the progression of clinical activities in our liver disease and virology programs. We have ongoing expenses related to our Phase 2 studies (two for EDP-305 and one for EDP-938) that were initiated during 2018. In addition, we recently initiated a Phase 1a/1b study in HBV of EDP-514. Increases in our research and development expenses, which were driven by an increase in headcount and external costs for clinical activities to support these programs, are expected to continue to increase as our wholly-owned programs advance.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remained relatively flat quarter over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Other income, net, increased $1.1 million for the three months ended June 30, 2019 as compared to the same period in 2018 due to an increase in interest income due primarily to changes in interest rates for the period ended June 30, 2019 as compared to the same period in 2018 as well as an increase in the marketable securities balance year over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and 2018, we recorded an income tax benefit of $0.9 million and income tax (expense) ($3.7) million, respectively. The income tax benefit for the three months ended June 30, 2019 was driven by a federal income tax benefit from foreign-derived royalty income. Income tax expense for 2018 was driven by our pre-tax income for the quarter and partially offset by employee stock award-related activity during the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June 30, 2019 and 2018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center"/>
              <w:ind w:left="419"/>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Revenue</w:t>
            </w:r>
          </w:p>
        </w:tc>
        <w:tc>
          <w:tcPr>
            <w:tcW w:w="32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4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AbbVie agreement:</w:t>
            </w:r>
          </w:p>
        </w:tc>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4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32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7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Milestones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4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We recognized revenue of $153.9 million during the nine months ended June 30, 2019 as compared to $139.4 million during the same period in 2018. During the nine months ended June 30, 2019, substantially all of our revenue consisted of royalties earned on the portion of AbbVie’s net sales of MAVYRET/MAVIRET which carries a higher sales allocation for royalty calculation purposes. During the nine months ended June 30, 2018, revenue consisted of a $15.0 million milestone earned upon AbbVie’s achievement of commercialization regulatory approval of MAVIRET™ in Japan, as well as royalties earned on the portion of AbbVie’s net sales of its HCV treatment regimens allocable to glecaprevir or paritaprevir.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programs: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Liver disease</w:t>
            </w:r>
          </w:p>
        </w:tc>
        <w:tc>
          <w:tcPr>
            <w:tcW w:w="17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Virology</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by $35.6 million for the nine months ended June 30, 2019 as compared to the same period in 2018. The increase was primarily due to the progression of clinical activities in our liver disease and virology programs. We have ongoing expenses related to our Phase 2 studies (two for EDP-305 and one for EDP-938) that were initiated during 2018. In addition, we recently initiated Phase 1a/1b study in HBV of EDP-514. Increases in our research and development expenses, which were driven by an increase in headcount and external costs for clinical activities to support these programs, are expected to continue to increase as our wholly-owned programs advance.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General and administrative increased $2.5 million for the nine months ended June 30, 2019 as compared to the same period in 2018. The increase was primarily due to an increase in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income, net, increased $3.2 for the nine months ended June 30, 2019 as compared to the same period in 2018 due to an increase in interest income due primarily to changes in interest rates for the period ended June 30, 2019 as compared to the same period in 2018 as well as an increase in the marketable securities balance year over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nine months ended June 30, 2019 and 2018 we recorded an income tax benefit of $0.3 million and income tax (expense) of $(12.7) million, respectively. The income tax benefit for the nine months ended June 30, 2019, despite reporting pre-tax income for the year-to-date period, was driven primarily by a federal tax benefit from foreign-derived royalty income, federal research and development tax credits and federal tax deductions for employee stock award-related activity during the year. During the nine months ended June 30, 2018, our income tax expense was driven primarily by our increased pre-tax income and partially offset by federal research and development tax credits and federal tax deductions for employee stock award-related activity during the year. Income tax expense for 2018 also included a revaluation adjustment against deferred tax assets of $(3.8) million due to a decrease in the federal corporate income tax rate as enacted under the U.S. Tax Cuts and Jobs Act (the “Tax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2019, our principal sources of liquidity were cash, cash equivalents and short-term and long-term marketable securities totaling $389.2 million.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June 30, 2019 and 2018:</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Cash provided by (used in):</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(34,456)</w:t>
            </w:r>
          </w:p>
        </w:tc>
        <w:tc>
          <w:tcPr>
            <w:tcW w:w="3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(27,453)</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4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640" w:type="dxa"/>
            <w:vAlign w:val="bottom"/>
          </w:tcPr>
          <w:p>
            <w:pPr>
              <w:spacing w:after="0"/>
              <w:rPr>
                <w:sz w:val="20"/>
                <w:szCs w:val="20"/>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cash provided by operating activities of $62.0 million for the nine months ended June 30, 2019 as compared to the same period in 2018 was primarily driven by an $84.0 million increase in cash received under our AbbVie agreement year over year. This increase was driven by royalties earned on net sales of MAVYRET/MAVIRET and was partially offset by increased research and development expenses due to the advancement of our research programs as well as the timing of vendor invoicing and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cash used in investing activities of $7.0 million for the nine months ended June 30, 2019 as compared to the same period in 2018 was driven by the timing of purchases, sales and maturities of marketable securities as well as increased capital expenditures associated with the buildout of additional space at our Watertown, MA facilities in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financing activities of $1.5 million for the nine months ended June 30, 2019 as compared to the same period in 2018 was driven by an increase in withholding taxes paid to settle restricted stock unit awards as a result of the increase in stock price year over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2019, we had $389.2 million in cash, cash equivalents and marketable securities. We believe that our existing cash, cash equivalents and marketable securities as of June 30, 2019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our existing collaboration with AbbVie;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programs;</w:t>
      </w:r>
    </w:p>
    <w:p>
      <w:pPr>
        <w:spacing w:after="0" w:line="117"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therapeutic candidates and therapies;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760" w:right="68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26" w:name="page27"/>
    <w:bookmarkEnd w:id="26"/>
    <w:p>
      <w:pPr>
        <w:ind w:left="760" w:right="16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our 2018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nine months ended June 30,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2018 (referred to as our 2018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7"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of research and development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1, 2018, we adopted the new revenue standard, ASU 2014-09 and its related amendments,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We will apply the guidance in ASC 606 to our one ongoing collaboration agreement under which we are eligible to earn sales-based royalties and to qualifying arrangements entered into after October 1, 2018. We recognize revenue related to the sales-based royalties in the period in which the underlying sales occur based on actual sales as communicated by the licensee. The license is deemed to be the predominant item to which the royalties relate.</w:t>
      </w:r>
    </w:p>
    <w:p>
      <w:pPr>
        <w:spacing w:after="0" w:line="7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than the adoption of ASC 606 in the first quarter of fiscal 2019, there have been no significant changes to our critical accounting policies since September 30, 2018. For further information, please see the discussion of critical accounting policies included in our 2018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7" w:name="page28"/>
    <w:bookmarkEnd w:id="2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and long-term marketable securities of $389.2 million at June 30, 2019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 Other than our capital lease obligation, we had no debt outstanding as of June 30, 2019.</w:t>
      </w:r>
    </w:p>
    <w:p>
      <w:pPr>
        <w:spacing w:after="0" w:line="2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9"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90"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 xml:space="preserve">PART II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OTHER INFORMATION</w:t>
      </w:r>
    </w:p>
    <w:p>
      <w:pPr>
        <w:sectPr>
          <w:pgSz w:w="11900" w:h="16838" w:orient="portrait"/>
          <w:cols w:equalWidth="0" w:num="1">
            <w:col w:w="11400"/>
          </w:cols>
          <w:pgMar w:left="240" w:top="324" w:right="259" w:bottom="1440" w:gutter="0" w:footer="0" w:header="0"/>
        </w:sectPr>
      </w:pPr>
    </w:p>
    <w:p>
      <w:pPr>
        <w:spacing w:after="0" w:line="238"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455" w:lineRule="exact"/>
        <w:rPr>
          <w:sz w:val="20"/>
          <w:szCs w:val="20"/>
          <w:color w:val="auto"/>
        </w:rPr>
      </w:pPr>
    </w:p>
    <w:p>
      <w:pPr>
        <w:sectPr>
          <w:pgSz w:w="11900" w:h="16838" w:orient="portrait"/>
          <w:cols w:equalWidth="0" w:num="2">
            <w:col w:w="1340" w:space="100"/>
            <w:col w:w="9960"/>
          </w:cols>
          <w:pgMar w:left="240" w:top="324" w:right="25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29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 of risk factors provided in this Item 1A includes any material changes to and supersedes the statement of risk factors associated with our business previously disclosed in Item 1A of our Quarterly Report on Form 10-Q for the quarter ended March 31, 2019 filed on May 6, 2019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6" w:lineRule="exact"/>
        <w:rPr>
          <w:sz w:val="20"/>
          <w:szCs w:val="20"/>
          <w:color w:val="auto"/>
        </w:rPr>
      </w:pPr>
    </w:p>
    <w:p>
      <w:pPr>
        <w:ind w:left="1040" w:right="3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maintain satisfactory levels of prescriptions by physicians and reimbursement by third-party payers for the MAVYRET/MAVIRET regimen in the various markets of the world where it is being sold;</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compete successfully with its MAVYRET/MAVIRET regimen against other products and therapies for HCV, including competition for exclusive arrangements with third-party payers and governmental entities as well as price competition;</w:t>
      </w:r>
    </w:p>
    <w:p>
      <w:pPr>
        <w:spacing w:after="0" w:line="53"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to comply with additional requests and recommendations from the FDA, including label restrictions for its regimen containing glecaprevir;</w:t>
      </w:r>
    </w:p>
    <w:p>
      <w:pPr>
        <w:spacing w:after="0" w:line="53"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make all regulatory filings and obtain all necessary approvals from foreign regulatory agencies and all commercially necessary reimbursement approvals;</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MAVYRET/MAVIRET, whether for competitive or strategic reasons or otherwise due to a change in business priorities;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cease to perform its obligations under the terms of our collaboration agreement;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unilaterally terminate our collaboration agreement on specified prior notice without any reason and without any further commitment; and</w:t>
      </w:r>
    </w:p>
    <w:p>
      <w:pPr>
        <w:spacing w:after="0" w:line="117"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able to manufacture glecaprevir in compliance with requirements of the FDA and similar foreign regulatory agencies and in commercial quantities sufficient to meet market demand.</w:t>
      </w:r>
    </w:p>
    <w:p>
      <w:pPr>
        <w:spacing w:after="0" w:line="27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type w:val="continuous"/>
        </w:sectPr>
      </w:pPr>
    </w:p>
    <w:bookmarkStart w:id="29" w:name="page30"/>
    <w:bookmarkEnd w:id="29"/>
    <w:p>
      <w:pPr>
        <w:ind w:right="140"/>
        <w:spacing w:after="0" w:line="258" w:lineRule="auto"/>
        <w:rPr>
          <w:sz w:val="20"/>
          <w:szCs w:val="20"/>
          <w:color w:val="auto"/>
        </w:rPr>
      </w:pPr>
      <w:r>
        <w:rPr>
          <w:rFonts w:ascii="Times New Roman" w:cs="Times New Roman" w:eastAsia="Times New Roman" w:hAnsi="Times New Roman"/>
          <w:sz w:val="18"/>
          <w:szCs w:val="18"/>
          <w:color w:val="auto"/>
        </w:rPr>
        <w:t>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AbbVie’s MAVYRET/MAVIRET regimen continues to be the leading HCV treatment in the U.S. and several market geographies in developed countries where it is approved even though in the U.S. it is priced well below the pricing of AbbVie’s first HCV regimens, and below that of its principal competitor, Gilead. While commercialization of this regimen is exclusively in AbbVie’s control without any required input from us, we believe it is possible that prices will decline further due to payers obtaining additional discounts or competitive market dynamics. For example, the states of Louisiana and Washington have each announced efforts to negotiate a blanket price for one of the HCV drug companies to treat all patients in one or more state programs. Gilead was awarded the contract in Louisiana and AbbVie was awarded the contract in Washington. It is unknown whether these programs or other programs that states may adopt could have an impact on MAVYRET/MAVIRET sales. There may also be fluctuations in AbbVie’s market share over time due to these and other competitive actions by Gilead.</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2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8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grazoprevir and elbasvir). Recently, Gilead announced plans to launch authorized generic versions of Epclusa and Harvoni in January 2019 through a newly created subsidiary, Asegua Therapeutics, LLC, which could have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0" w:name="page31"/>
    <w:bookmarkEnd w:id="3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NASH and has also signaled its intent to submit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Genfit, Madrigal and Tobira (Allergan). In addition, a number of companies have NASH or related programs with compounds in Phase 2 clinical trials. These companies include Akero, Alberio, Astra-Zeneca, BMS, Boehringer Ingelheim, Can-Fite BioPharma, Cirius, Cymabay, Galectin, Galmed, Gilead, GlaxoSmithKline, Immuron, Inventiva, Ionis, Lipocine, Medicinova, Metacrine, Northsea Therapeutics, Novartis, NGM, Novo Nordisk, Pfizer, Second Genome, Viking and Zydus. For PBC, in May 2016, the FDA granted conditional approval for Intercept’s FXR agonist, OCA for the treatment of PBC in combination with first line therapy ursodeoxycholic acid (UDCA) in adults with an inadequate response to UDCA, or as monotherapy in adults unable to tolerate UDCA. In addition, several other companies are conducting advanced trials in PBC, including Cymabay (Phase 3) and Genfit (Phase 2 completed). A significant number of other companies are conducting earlier stage clinical trials that may be applicable in NASH, PBC and other cholestatic diseases. There are also additional companies conducting preclinical studies in these disease areas.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Ionis, Johnson &amp; Johnson, Maxwell, Replicor, Roche and Spring Bank have Phase 2 programs in progress, with many of these companies conducting earlier stage programs as well. In addition, a number of companies have Phase 1 or earlier stage HBV programs, including Aicuris, Altimmune, Arrowhead, Contravir, Dicerna, ENYO, Transgene and Vir.</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RSV, there are currently no safe and effective therapies for already established RSV infection. Several companies are seeking new antiviral treatments for RSV infection in adult and pediatric settings. Ark Biosciences, Johnson &amp; Johnson, Pulmocide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72" w:lineRule="exact"/>
        <w:rPr>
          <w:sz w:val="20"/>
          <w:szCs w:val="20"/>
          <w:color w:val="auto"/>
        </w:rPr>
      </w:pPr>
    </w:p>
    <w:p>
      <w:pPr>
        <w:ind w:left="1040" w:right="1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product candidates and demonstrate acceptable safety and efficacy for them alone or in combination with other drugs or drug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for our product candidates and freedom from infringement of intellectual property of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acceptable commercial manufacturing arrangements with third-party manufacturers;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1" w:name="page32"/>
    <w:bookmarkEnd w:id="31"/>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among physicians, payers and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product candidates and expand our business or continue our operations.</w:t>
      </w:r>
    </w:p>
    <w:p>
      <w:pPr>
        <w:spacing w:after="0" w:line="26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68"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less commercially viable or obsolete;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product candidate;</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8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royalty revenue earned under our AbbVie agreement or changes in the level of expenses associated with development of our product candidates may cause our results of operations to fluctuate from period to period, which may result in operating losses.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and the varying rates of reimbursement in different countries.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90"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our existing collaboration with AbbVie;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programs;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3" w:name="page34"/>
    <w:bookmarkEnd w:id="33"/>
    <w:p>
      <w:pPr>
        <w:ind w:left="760" w:right="40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therapeutic candidates and therapies;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760" w:right="82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right="200" w:hanging="374"/>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for a variety of reasons, including delays related to:</w:t>
      </w:r>
    </w:p>
    <w:p>
      <w:pPr>
        <w:spacing w:after="0" w:line="117" w:lineRule="exact"/>
        <w:rPr>
          <w:sz w:val="20"/>
          <w:szCs w:val="20"/>
          <w:color w:val="auto"/>
        </w:rPr>
      </w:pPr>
    </w:p>
    <w:p>
      <w:pPr>
        <w:ind w:left="1040" w:right="46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ind w:left="1040" w:right="14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regulatory administration, including, for example, administrative delays due to the planned relocation of the EMA to the Netherlands;</w:t>
      </w:r>
    </w:p>
    <w:p>
      <w:pPr>
        <w:spacing w:after="0" w:line="53"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policy and guidelines, including guidelines specifically addressing requirements for the development of treatments for RSV, NASH, PBC or HBV;</w:t>
      </w:r>
    </w:p>
    <w:p>
      <w:pPr>
        <w:spacing w:after="0" w:line="53"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9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29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Times New Roman" w:cs="Times New Roman" w:eastAsia="Times New Roman" w:hAnsi="Times New Roman"/>
          <w:sz w:val="18"/>
          <w:szCs w:val="18"/>
          <w:color w:val="212121"/>
        </w:rPr>
        <w:t>development programs being negatively 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even if such events or symptoms are ultimately determined to be unlikely related to our drug candidates.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ind w:right="120"/>
        <w:spacing w:after="0" w:line="261" w:lineRule="auto"/>
        <w:rPr>
          <w:sz w:val="20"/>
          <w:szCs w:val="20"/>
          <w:color w:val="auto"/>
        </w:rPr>
      </w:pPr>
      <w:r>
        <w:rPr>
          <w:rFonts w:ascii="Times New Roman" w:cs="Times New Roman" w:eastAsia="Times New Roman" w:hAnsi="Times New Roman"/>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or unacceptable side effects caused by such products:</w:t>
      </w:r>
    </w:p>
    <w:p>
      <w:pPr>
        <w:spacing w:after="0" w:line="117" w:lineRule="exact"/>
        <w:rPr>
          <w:sz w:val="20"/>
          <w:szCs w:val="20"/>
          <w:color w:val="auto"/>
        </w:rPr>
      </w:pPr>
    </w:p>
    <w:p>
      <w:pPr>
        <w:ind w:left="1040" w:right="34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stock price may suffer.</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6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Product candidate development risk is heightened by any changes in the planned clinical trials compared to the completed clinical trials. As product candidates are developed through preclinical early and late stage clinical trials towards approval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8"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2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7"/>
          <w:szCs w:val="17"/>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7" w:name="page38"/>
    <w:bookmarkEnd w:id="37"/>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0" w:lineRule="exact"/>
        <w:rPr>
          <w:sz w:val="20"/>
          <w:szCs w:val="20"/>
          <w:color w:val="auto"/>
        </w:rPr>
      </w:pPr>
    </w:p>
    <w:p>
      <w:pPr>
        <w:ind w:left="1040" w:right="28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pricing regulations, third-party reimbursement practices or healthcare reform initiatives in the United States could harm our business.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ind w:right="60"/>
        <w:spacing w:after="0" w:line="255" w:lineRule="auto"/>
        <w:rPr>
          <w:sz w:val="20"/>
          <w:szCs w:val="20"/>
          <w:color w:val="auto"/>
        </w:rPr>
      </w:pPr>
      <w:r>
        <w:rPr>
          <w:rFonts w:ascii="Times New Roman" w:cs="Times New Roman" w:eastAsia="Times New Roman" w:hAnsi="Times New Roman"/>
          <w:sz w:val="18"/>
          <w:szCs w:val="18"/>
          <w:color w:val="auto"/>
        </w:rPr>
        <w:t>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and could seriously harm our future revenues.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countries, we may be required to conduct a clinical trial that compares the cost-effectiveness of our product candidate to other available therapies.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products;</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2" w:lineRule="exact"/>
        <w:rPr>
          <w:sz w:val="20"/>
          <w:szCs w:val="20"/>
          <w:color w:val="auto"/>
        </w:rPr>
      </w:pPr>
    </w:p>
    <w:p>
      <w:pPr>
        <w:ind w:left="1040" w:right="36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17"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payors and patients of any treatment regimen containing one of our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0" w:name="page41"/>
    <w:bookmarkEnd w:id="40"/>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of regimens containing one of our product candidates in relation to the cost of alternative treatments;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longevity of the HCV drug market or growth and longevity of any other market for which we develop a drug;</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funding provided by government-funded healthcare for HCV treatment or treatment of any other disease for which we develop a drug;</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 compared to competitive regimens;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treatment regimens containing one of our products candidates or similar, competitive treatment regimens;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54" w:lineRule="exact"/>
        <w:rPr>
          <w:sz w:val="20"/>
          <w:szCs w:val="20"/>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product candidates may be terminated or delayed;</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1" w:name="page42"/>
    <w:bookmarkEnd w:id="41"/>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7"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or maintaining adequate patent protection for one or more of our product candidates.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3" w:name="page44"/>
    <w:bookmarkEnd w:id="43"/>
    <w:p>
      <w:pPr>
        <w:ind w:right="120"/>
        <w:spacing w:after="0" w:line="255" w:lineRule="auto"/>
        <w:rPr>
          <w:sz w:val="20"/>
          <w:szCs w:val="20"/>
          <w:color w:val="auto"/>
        </w:rPr>
      </w:pPr>
      <w:r>
        <w:rPr>
          <w:rFonts w:ascii="Times New Roman" w:cs="Times New Roman" w:eastAsia="Times New Roman" w:hAnsi="Times New Roman"/>
          <w:sz w:val="18"/>
          <w:szCs w:val="18"/>
          <w:color w:val="auto"/>
        </w:rPr>
        <w:t>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40" w:right="14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 which could result in the patent applications not issuing or being invalidated after issuing;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46" w:name="page47"/>
    <w:bookmarkEnd w:id="46"/>
    <w:p>
      <w:pPr>
        <w:ind w:left="1040" w:right="2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rFonts w:ascii="Times New Roman" w:cs="Times New Roman" w:eastAsia="Times New Roman" w:hAnsi="Times New Roman"/>
          <w:sz w:val="18"/>
          <w:szCs w:val="18"/>
          <w:color w:val="auto"/>
        </w:rPr>
      </w:pPr>
    </w:p>
    <w:p>
      <w:pPr>
        <w:ind w:left="1040" w:right="8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inhibit the commercialization of products we develop. We currently carry product liability insurance covering our clinical studies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the aggregate. Although we maintain such insurance, any claim that may be brought against us could result in a court judgment or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amount that is not covered, in whole or in part, by our insurance or that is in excess of the limits of our insurance coverage. Our insurance policies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various exclusions, and we may be subject to a product liability claim for which we have no coverage. We will have to pay any amounts awarded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or negotiated in a settlement that exceed our coverage limitations or that are not covered by our insurance, and we may not have, or be able to obtain,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capital to pay such amounts.</w:t>
      </w:r>
    </w:p>
    <w:p>
      <w:pPr>
        <w:spacing w:after="0" w:line="31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8" w:name="page49"/>
    <w:bookmarkEnd w:id="48"/>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76" w:lineRule="exact"/>
        <w:rPr>
          <w:sz w:val="20"/>
          <w:szCs w:val="20"/>
          <w:color w:val="auto"/>
        </w:rPr>
      </w:pPr>
    </w:p>
    <w:p>
      <w:pPr>
        <w:ind w:left="1040" w:right="140" w:hanging="519"/>
        <w:spacing w:after="0" w:line="261"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9" w:lineRule="exact"/>
        <w:rPr>
          <w:rFonts w:ascii="Times New Roman" w:cs="Times New Roman" w:eastAsia="Times New Roman" w:hAnsi="Times New Roman"/>
          <w:sz w:val="18"/>
          <w:szCs w:val="18"/>
          <w:color w:val="auto"/>
        </w:rPr>
      </w:pPr>
    </w:p>
    <w:p>
      <w:pPr>
        <w:jc w:val="both"/>
        <w:ind w:left="1040" w:right="460" w:hanging="519"/>
        <w:spacing w:after="0" w:line="267"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40" w:right="140" w:hanging="519"/>
        <w:spacing w:after="0" w:line="261"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68" w:lineRule="exact"/>
        <w:rPr>
          <w:rFonts w:ascii="Times New Roman" w:cs="Times New Roman" w:eastAsia="Times New Roman" w:hAnsi="Times New Roman"/>
          <w:sz w:val="18"/>
          <w:szCs w:val="18"/>
          <w:color w:val="auto"/>
        </w:rPr>
      </w:pPr>
    </w:p>
    <w:p>
      <w:pPr>
        <w:ind w:left="1040" w:right="280" w:hanging="519"/>
        <w:spacing w:after="0" w:line="258"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ind w:right="300"/>
        <w:spacing w:after="0" w:line="282" w:lineRule="auto"/>
        <w:rPr>
          <w:sz w:val="20"/>
          <w:szCs w:val="20"/>
          <w:color w:val="auto"/>
        </w:rPr>
      </w:pPr>
      <w:r>
        <w:rPr>
          <w:rFonts w:ascii="Times New Roman" w:cs="Times New Roman" w:eastAsia="Times New Roman" w:hAnsi="Times New Roman"/>
          <w:sz w:val="18"/>
          <w:szCs w:val="18"/>
          <w:color w:val="auto"/>
        </w:rPr>
        <w:t>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specified business risks, which will leave us exposed to significant uninsured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thus our stockholders could incur substantial losses.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could be subject to wide fluctuations in response to various factors, many of which are beyond our control. Since our initial public offering in March 2013 and through July 30, 2019, the price of our common stock on the NASDAQ Global Select Market has ranged from $16.18 to $127.77.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0" w:lineRule="exact"/>
        <w:rPr>
          <w:sz w:val="20"/>
          <w:szCs w:val="20"/>
          <w:color w:val="auto"/>
        </w:rPr>
      </w:pPr>
    </w:p>
    <w:p>
      <w:pPr>
        <w:ind w:left="1040" w:right="6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AbbVie regarding the MAVYRET/MAVIRET regimen containing glecaprevir as approved in the U.S., EU and Japan, including announcements regarding regulatory or commercial developments;</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expectations about and response to the levels of sales or scripts achieved by, or the announced prices or discounts for, AbbVie’s MAVYRET/MAVIRET regimen or competitive HCV drugs;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AbbVie’s MAVYRET/MAVIRET regimen to maintain its sales levels;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manufacturers,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political or legal developments in the United States or other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0" w:name="page51"/>
    <w:bookmarkEnd w:id="50"/>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or other actions that affect the effective reimbursement rates for treatment regimens containing our products or for competitive regimens;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53" w:lineRule="exact"/>
        <w:rPr>
          <w:rFonts w:ascii="Times New Roman" w:cs="Times New Roman" w:eastAsia="Times New Roman" w:hAnsi="Times New Roman"/>
          <w:sz w:val="18"/>
          <w:szCs w:val="18"/>
          <w:color w:val="auto"/>
        </w:rPr>
      </w:pPr>
    </w:p>
    <w:p>
      <w:pPr>
        <w:ind w:left="1040" w:right="620" w:hanging="519"/>
        <w:spacing w:after="0" w:line="266"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1" w:name="page52"/>
    <w:bookmarkEnd w:id="51"/>
    <w:p>
      <w:pPr>
        <w:ind w:right="60"/>
        <w:spacing w:after="0" w:line="256"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that provide for aggregate cash payments of up to approximately $4.1 million for severance and other non-equity-based benefits in the event of a termination of employment in connection with a change of control of our company. In addition, based on the closing price of our common stock as of June 30, 2019 of $84.38 per common share, the aggregate intrinsic value of unvested stock options and other equity awards subject to accelerated vesting upon these events was $22.8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6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2019, we had 19.7 million shares of common stock outstanding. In addition, as of June 30, 2019, 3.0 million and 0.2 million shares of common stock that are subject to outstanding options or restricted stock unit awards, respectively, under our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20"/>
                <w:szCs w:val="20"/>
                <w:color w:val="auto"/>
              </w:rPr>
            </w:pPr>
          </w:p>
        </w:tc>
        <w:tc>
          <w:tcPr>
            <w:tcW w:w="524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02"/>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5240" w:type="dxa"/>
            <w:vAlign w:val="bottom"/>
            <w:gridSpan w:val="11"/>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524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4"/>
                <w:szCs w:val="24"/>
                <w:color w:val="auto"/>
              </w:rPr>
            </w:pPr>
          </w:p>
        </w:tc>
        <w:tc>
          <w:tcPr>
            <w:tcW w:w="5240" w:type="dxa"/>
            <w:vAlign w:val="bottom"/>
            <w:gridSpan w:val="11"/>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Restated Certificate of Incorporation of Enanta Pharmaceuticals, Inc.</w:t>
              </w:r>
            </w:hyperlink>
          </w:p>
        </w:tc>
        <w:tc>
          <w:tcPr>
            <w:tcW w:w="0" w:type="dxa"/>
            <w:vAlign w:val="bottom"/>
          </w:tcPr>
          <w:p>
            <w:pPr>
              <w:spacing w:after="0"/>
              <w:rPr>
                <w:sz w:val="1"/>
                <w:szCs w:val="1"/>
                <w:color w:val="auto"/>
              </w:rPr>
            </w:pPr>
          </w:p>
        </w:tc>
      </w:tr>
      <w:tr>
        <w:trPr>
          <w:trHeight w:val="3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49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of Enanta Pharmaceuticals, Inc. (as</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in August 2015)</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5240" w:type="dxa"/>
            <w:vAlign w:val="bottom"/>
            <w:gridSpan w:val="11"/>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or 15d-14(a) of the Securities Exchange Act of 1934.</w:t>
              </w:r>
            </w:hyperlink>
          </w:p>
        </w:tc>
        <w:tc>
          <w:tcPr>
            <w:tcW w:w="128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5240" w:type="dxa"/>
            <w:vAlign w:val="bottom"/>
            <w:gridSpan w:val="11"/>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Certification of the Chief Executive Officer and Chief Financial Officer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40" w:type="dxa"/>
            <w:vAlign w:val="bottom"/>
            <w:gridSpan w:val="11"/>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80" w:right="40" w:hanging="761"/>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Quarterly Report of Enanta Pharmaceuticals, Inc. on Form 10-Q for the quarter ended June 30, 2019, formatted in Inline XBRL: (i) Consolidated Balance Sheets, (ii) 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p>
      <w:pPr>
        <w:spacing w:after="0" w:line="27"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9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5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7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320" w:space="100"/>
            <w:col w:w="5000"/>
          </w:cols>
          <w:pgMar w:left="240" w:top="333"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2019</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240" w:top="333"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4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2019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2019</w:t>
            </w:r>
          </w:p>
        </w:tc>
        <w:tc>
          <w:tcPr>
            <w:tcW w:w="30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91"/>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R. Luly, Ph.D.</w:t>
            </w:r>
          </w:p>
        </w:tc>
      </w:tr>
      <w:tr>
        <w:trPr>
          <w:trHeight w:val="234"/>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2019</w:t>
            </w:r>
          </w:p>
        </w:tc>
        <w:tc>
          <w:tcPr>
            <w:tcW w:w="30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J. Mellett</w:t>
            </w:r>
          </w:p>
        </w:tc>
      </w:tr>
      <w:tr>
        <w:trPr>
          <w:trHeight w:val="191"/>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J. Mellett</w:t>
            </w:r>
          </w:p>
        </w:tc>
      </w:tr>
      <w:tr>
        <w:trPr>
          <w:trHeight w:val="234"/>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606"/>
    </w:lvl>
  </w:abstractNum>
  <w:abstractNum w:abstractNumId="5">
    <w:nsid w:val="836C40E"/>
    <w:multiLevelType w:val="hybridMultilevel"/>
    <w:lvl w:ilvl="0">
      <w:lvlJc w:val="left"/>
      <w:lvlText w:val="%1."/>
      <w:numFmt w:val="decimal"/>
      <w:start w:val="3"/>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1."/>
      <w:numFmt w:val="decimal"/>
      <w:start w:val="5"/>
    </w:lvl>
  </w:abstractNum>
  <w:abstractNum w:abstractNumId="8">
    <w:nsid w:val="8138641"/>
    <w:multiLevelType w:val="hybridMultilevel"/>
    <w:lvl w:ilvl="0">
      <w:lvlJc w:val="left"/>
      <w:lvlText w:val="%1."/>
      <w:numFmt w:val="decimal"/>
      <w:start w:val="6"/>
    </w:lvl>
  </w:abstractNum>
  <w:abstractNum w:abstractNumId="9">
    <w:nsid w:val="1E7FF521"/>
    <w:multiLevelType w:val="hybridMultilevel"/>
    <w:lvl w:ilvl="0">
      <w:lvlJc w:val="left"/>
      <w:lvlText w:val="%1."/>
      <w:numFmt w:val="decimal"/>
      <w:start w:val="7"/>
    </w:lvl>
  </w:abstractNum>
  <w:abstractNum w:abstractNumId="10">
    <w:nsid w:val="7C3DBD3D"/>
    <w:multiLevelType w:val="hybridMultilevel"/>
    <w:lvl w:ilvl="0">
      <w:lvlJc w:val="left"/>
      <w:lvlText w:val="%1."/>
      <w:numFmt w:val="decimal"/>
      <w:start w:val="8"/>
    </w:lvl>
  </w:abstractNum>
  <w:abstractNum w:abstractNumId="11">
    <w:nsid w:val="737B8DDC"/>
    <w:multiLevelType w:val="hybridMultilevel"/>
    <w:lvl w:ilvl="0">
      <w:lvlJc w:val="left"/>
      <w:lvlText w:val="%1."/>
      <w:numFmt w:val="decimal"/>
      <w:start w:val="9"/>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lvl w:ilvl="1">
      <w:lvlJc w:val="left"/>
      <w:lvlText w:val="o"/>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0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7" Type="http://schemas.openxmlformats.org/officeDocument/2006/relationships/hyperlink" Target="http://www.sec.gov/Archives/edgar/data/1177648/000119312513132679/d511662dex31.htm" TargetMode="External"/><Relationship Id="rId78"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2019-12-28T07:14:13Z</dcterms:created>
  <dcterms:modified xsi:type="dcterms:W3CDTF">2019-12-28T07:14:13Z</dcterms:modified>
</cp:coreProperties>
</file>