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p>
      <w:pPr>
        <w:ind w:left="580" w:right="120" w:hanging="559"/>
        <w:spacing w:after="0" w:line="262"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580" w:right="140" w:hanging="559"/>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ENANTA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1940" w:type="dxa"/>
            <w:vAlign w:val="bottom"/>
          </w:tcPr>
          <w:p>
            <w:pPr>
              <w:spacing w:after="0"/>
              <w:rPr>
                <w:sz w:val="18"/>
                <w:szCs w:val="18"/>
                <w:color w:val="auto"/>
              </w:rPr>
            </w:pPr>
          </w:p>
        </w:tc>
        <w:tc>
          <w:tcPr>
            <w:tcW w:w="4500" w:type="dxa"/>
            <w:vAlign w:val="bottom"/>
            <w:gridSpan w:val="2"/>
          </w:tcPr>
          <w:p>
            <w:pPr>
              <w:jc w:val="right"/>
              <w:ind w:right="1344"/>
              <w:spacing w:after="0"/>
              <w:rPr>
                <w:sz w:val="20"/>
                <w:szCs w:val="20"/>
                <w:color w:val="auto"/>
              </w:rPr>
            </w:pPr>
            <w:r>
              <w:rPr>
                <w:rFonts w:ascii="Times New Roman" w:cs="Times New Roman" w:eastAsia="Times New Roman" w:hAnsi="Times New Roman"/>
                <w:sz w:val="18"/>
                <w:szCs w:val="18"/>
                <w:b w:val="1"/>
                <w:bCs w:val="1"/>
                <w:color w:val="auto"/>
              </w:rPr>
              <w:t>04-3205099</w:t>
            </w:r>
          </w:p>
        </w:tc>
      </w:tr>
      <w:tr>
        <w:trPr>
          <w:trHeight w:val="149"/>
        </w:trPr>
        <w:tc>
          <w:tcPr>
            <w:tcW w:w="4800" w:type="dxa"/>
            <w:vAlign w:val="bottom"/>
            <w:gridSpan w:val="3"/>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0" w:type="dxa"/>
            <w:vAlign w:val="bottom"/>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80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609"/>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4 Kingsbury Avenue</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14"/>
        </w:trPr>
        <w:tc>
          <w:tcPr>
            <w:tcW w:w="480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1940" w:type="dxa"/>
            <w:vAlign w:val="bottom"/>
          </w:tcPr>
          <w:p>
            <w:pPr>
              <w:spacing w:after="0"/>
              <w:rPr>
                <w:sz w:val="18"/>
                <w:szCs w:val="18"/>
                <w:color w:val="auto"/>
              </w:rPr>
            </w:pPr>
          </w:p>
        </w:tc>
        <w:tc>
          <w:tcPr>
            <w:tcW w:w="4500" w:type="dxa"/>
            <w:vAlign w:val="bottom"/>
            <w:gridSpan w:val="2"/>
          </w:tcPr>
          <w:p>
            <w:pPr>
              <w:jc w:val="right"/>
              <w:ind w:right="154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11240" w:type="dxa"/>
            <w:vAlign w:val="bottom"/>
            <w:gridSpan w:val="6"/>
          </w:tcPr>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607-0800</w:t>
            </w:r>
          </w:p>
        </w:tc>
      </w:tr>
      <w:tr>
        <w:trPr>
          <w:trHeight w:val="135"/>
        </w:trPr>
        <w:tc>
          <w:tcPr>
            <w:tcW w:w="3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0" w:type="dxa"/>
            <w:vAlign w:val="bottom"/>
          </w:tcPr>
          <w:p>
            <w:pPr>
              <w:spacing w:after="0"/>
              <w:rPr>
                <w:sz w:val="11"/>
                <w:szCs w:val="11"/>
                <w:color w:val="auto"/>
              </w:rPr>
            </w:pPr>
          </w:p>
        </w:tc>
      </w:tr>
      <w:tr>
        <w:trPr>
          <w:trHeight w:val="287"/>
        </w:trPr>
        <w:tc>
          <w:tcPr>
            <w:tcW w:w="48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216"/>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8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00" w:type="dxa"/>
            <w:vAlign w:val="bottom"/>
            <w:tcBorders>
              <w:bottom w:val="single" w:sz="8" w:color="auto"/>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0"/>
        </w:trPr>
        <w:tc>
          <w:tcPr>
            <w:tcW w:w="3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980" w:type="dxa"/>
            <w:vAlign w:val="bottom"/>
            <w:gridSpan w:val="2"/>
          </w:tcPr>
          <w:p>
            <w:pPr>
              <w:spacing w:after="0"/>
              <w:rPr>
                <w:sz w:val="19"/>
                <w:szCs w:val="19"/>
                <w:color w:val="auto"/>
              </w:rPr>
            </w:pPr>
          </w:p>
        </w:tc>
        <w:tc>
          <w:tcPr>
            <w:tcW w:w="1940" w:type="dxa"/>
            <w:vAlign w:val="bottom"/>
          </w:tcPr>
          <w:p>
            <w:pPr>
              <w:jc w:val="center"/>
              <w:ind w:right="459"/>
              <w:spacing w:after="0"/>
              <w:rPr>
                <w:sz w:val="20"/>
                <w:szCs w:val="20"/>
                <w:color w:val="auto"/>
              </w:rPr>
            </w:pPr>
            <w:r>
              <w:rPr>
                <w:rFonts w:ascii="Times New Roman" w:cs="Times New Roman" w:eastAsia="Times New Roman" w:hAnsi="Times New Roman"/>
                <w:sz w:val="18"/>
                <w:szCs w:val="18"/>
                <w:color w:val="auto"/>
                <w:w w:val="99"/>
              </w:rPr>
              <w:t>ENTA</w:t>
            </w:r>
          </w:p>
        </w:tc>
        <w:tc>
          <w:tcPr>
            <w:tcW w:w="50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54"/>
        </w:trPr>
        <w:tc>
          <w:tcPr>
            <w:tcW w:w="3820" w:type="dxa"/>
            <w:vAlign w:val="bottom"/>
            <w:tcBorders>
              <w:left w:val="single" w:sz="8" w:color="auto"/>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4000" w:type="dxa"/>
            <w:vAlign w:val="bottom"/>
            <w:tcBorders>
              <w:bottom w:val="single" w:sz="8" w:color="auto"/>
              <w:right w:val="single" w:sz="8" w:color="auto"/>
            </w:tcBorders>
          </w:tcPr>
          <w:p>
            <w:pPr>
              <w:spacing w:after="0"/>
              <w:rPr>
                <w:sz w:val="4"/>
                <w:szCs w:val="4"/>
                <w:color w:val="auto"/>
              </w:rPr>
            </w:pPr>
          </w:p>
        </w:tc>
      </w:tr>
    </w:tbl>
    <w:p>
      <w:pPr>
        <w:spacing w:after="0" w:line="90"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62" w:lineRule="exact"/>
        <w:rPr>
          <w:sz w:val="24"/>
          <w:szCs w:val="24"/>
          <w:color w:val="auto"/>
        </w:rPr>
      </w:pPr>
    </w:p>
    <w:p>
      <w:pPr>
        <w:jc w:val="both"/>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20" w:right="11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February 4, 2025, the registrant had 21,332,544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UNAUDITED 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19"/>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336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Financial Statements</w:t>
            </w:r>
          </w:p>
        </w:tc>
        <w:tc>
          <w:tcPr>
            <w:tcW w:w="20" w:type="dxa"/>
            <w:vAlign w:val="bottom"/>
            <w:tcBorders>
              <w:top w:val="single" w:sz="8" w:color="0000FF"/>
            </w:tcBorders>
          </w:tcPr>
          <w:p>
            <w:pPr>
              <w:spacing w:after="0"/>
              <w:rPr>
                <w:sz w:val="17"/>
                <w:szCs w:val="17"/>
                <w:color w:val="auto"/>
              </w:rPr>
            </w:pPr>
          </w:p>
        </w:tc>
        <w:tc>
          <w:tcPr>
            <w:tcW w:w="592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60" w:type="dxa"/>
            <w:vAlign w:val="bottom"/>
            <w:tcBorders>
              <w:right w:val="single" w:sz="8" w:color="0000EE"/>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9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38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9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4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7"/>
                <w:szCs w:val="17"/>
                <w:color w:val="auto"/>
              </w:rPr>
            </w:pPr>
          </w:p>
        </w:tc>
        <w:tc>
          <w:tcPr>
            <w:tcW w:w="2560" w:type="dxa"/>
            <w:vAlign w:val="bottom"/>
            <w:tcBorders>
              <w:top w:val="single" w:sz="8" w:color="0000FF"/>
            </w:tcBorders>
            <w:gridSpan w:val="7"/>
          </w:tcPr>
          <w:p>
            <w:pPr>
              <w:spacing w:after="0"/>
              <w:rPr>
                <w:sz w:val="17"/>
                <w:szCs w:val="17"/>
                <w:color w:val="auto"/>
              </w:rPr>
            </w:pPr>
          </w:p>
        </w:tc>
        <w:tc>
          <w:tcPr>
            <w:tcW w:w="49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9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OTHER INFORMATION</w:t>
            </w:r>
          </w:p>
        </w:tc>
        <w:tc>
          <w:tcPr>
            <w:tcW w:w="738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796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("Quarterly Report")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or the negative of these terms or other similar expressions. We caution you that the foregoing list may not encompass all of the forward-looking statements made in this Quarterly Report.</w:t>
      </w:r>
    </w:p>
    <w:p>
      <w:pPr>
        <w:spacing w:after="0" w:line="77"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i w:val="1"/>
          <w:iCs w:val="1"/>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in our Annual Report on Form 10-K for the fiscal year ended September 30, 2024 and as updated in Item 1A herein.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I—UNAUDITED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84,349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37,233</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132,342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receivable</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31,999</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restricted cash</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8"/>
                <w:szCs w:val="18"/>
                <w:color w:val="auto"/>
              </w:rPr>
            </w:pPr>
          </w:p>
        </w:tc>
      </w:tr>
      <w:tr>
        <w:trPr>
          <w:trHeight w:val="210"/>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268,145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299,852</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40,658</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Pr>
          <w:p>
            <w:pPr>
              <w:spacing w:after="0"/>
              <w:rPr>
                <w:sz w:val="18"/>
                <w:szCs w:val="18"/>
                <w:color w:val="auto"/>
              </w:rPr>
            </w:pPr>
          </w:p>
        </w:tc>
      </w:tr>
      <w:tr>
        <w:trPr>
          <w:trHeight w:val="216"/>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348,642</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376,652</w:t>
            </w:r>
          </w:p>
        </w:tc>
        <w:tc>
          <w:tcPr>
            <w:tcW w:w="10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34,462</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Pr>
          <w:p>
            <w:pPr>
              <w:spacing w:after="0"/>
              <w:rPr>
                <w:sz w:val="18"/>
                <w:szCs w:val="18"/>
                <w:color w:val="auto"/>
              </w:rPr>
            </w:pPr>
          </w:p>
        </w:tc>
      </w:tr>
      <w:tr>
        <w:trPr>
          <w:trHeight w:val="209"/>
        </w:trPr>
        <w:tc>
          <w:tcPr>
            <w:tcW w:w="7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49,050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57,535</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related to the sale of future royalties, net of current portion</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134,779</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56,453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53,943</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8"/>
                <w:szCs w:val="18"/>
                <w:color w:val="auto"/>
              </w:rPr>
            </w:pPr>
          </w:p>
        </w:tc>
      </w:tr>
      <w:tr>
        <w:trPr>
          <w:trHeight w:val="216"/>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236,826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247,838</w:t>
            </w:r>
          </w:p>
        </w:tc>
        <w:tc>
          <w:tcPr>
            <w:tcW w:w="100" w:type="dxa"/>
            <w:vAlign w:val="bottom"/>
          </w:tcPr>
          <w:p>
            <w:pPr>
              <w:spacing w:after="0"/>
              <w:rPr>
                <w:sz w:val="18"/>
                <w:szCs w:val="18"/>
                <w:color w:val="auto"/>
              </w:rPr>
            </w:pPr>
          </w:p>
        </w:tc>
      </w:tr>
      <w:tr>
        <w:trPr>
          <w:trHeight w:val="209"/>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100,000 shares authorized;</w:t>
            </w: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21,333 and 21,194 shares issued and outstanding at December 31, 2024</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3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September 30, 2024, respectively</w:t>
            </w: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FF0FC"/>
          </w:tcPr>
          <w:p>
            <w:pPr>
              <w:spacing w:after="0"/>
              <w:rPr>
                <w:sz w:val="20"/>
                <w:szCs w:val="20"/>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456,962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451,340</w:t>
            </w:r>
          </w:p>
        </w:tc>
        <w:tc>
          <w:tcPr>
            <w:tcW w:w="100" w:type="dxa"/>
            <w:vAlign w:val="bottom"/>
          </w:tcPr>
          <w:p>
            <w:pPr>
              <w:spacing w:after="0"/>
              <w:rPr>
                <w:sz w:val="18"/>
                <w:szCs w:val="18"/>
                <w:color w:val="auto"/>
              </w:rPr>
            </w:pPr>
          </w:p>
        </w:tc>
      </w:tr>
      <w:tr>
        <w:trPr>
          <w:trHeight w:val="216"/>
        </w:trPr>
        <w:tc>
          <w:tcPr>
            <w:tcW w:w="7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2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(29 )</w:t>
            </w: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18"/>
                <w:szCs w:val="18"/>
                <w:color w:val="auto"/>
              </w:rPr>
            </w:pPr>
          </w:p>
        </w:tc>
      </w:tr>
      <w:tr>
        <w:trPr>
          <w:trHeight w:val="216"/>
        </w:trPr>
        <w:tc>
          <w:tcPr>
            <w:tcW w:w="7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(345,330 )</w:t>
            </w:r>
          </w:p>
        </w:tc>
        <w:tc>
          <w:tcPr>
            <w:tcW w:w="28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(323,040 )</w:t>
            </w:r>
          </w:p>
        </w:tc>
      </w:tr>
      <w:tr>
        <w:trPr>
          <w:trHeight w:val="210"/>
        </w:trPr>
        <w:tc>
          <w:tcPr>
            <w:tcW w:w="73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111,816</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348,642</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376,652</w:t>
            </w:r>
          </w:p>
        </w:tc>
        <w:tc>
          <w:tcPr>
            <w:tcW w:w="100" w:type="dxa"/>
            <w:vAlign w:val="bottom"/>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-3256915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-1567815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3380" w:type="dxa"/>
            <w:vAlign w:val="bottom"/>
            <w:tcBorders>
              <w:bottom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40" w:type="dxa"/>
            <w:vAlign w:val="bottom"/>
          </w:tcPr>
          <w:p>
            <w:pPr>
              <w:spacing w:after="0"/>
              <w:rPr>
                <w:sz w:val="12"/>
                <w:szCs w:val="12"/>
                <w:color w:val="auto"/>
              </w:rPr>
            </w:pPr>
          </w:p>
        </w:tc>
        <w:tc>
          <w:tcPr>
            <w:tcW w:w="122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revenue</w:t>
            </w:r>
          </w:p>
        </w:tc>
        <w:tc>
          <w:tcPr>
            <w:tcW w:w="1220" w:type="dxa"/>
            <w:vAlign w:val="bottom"/>
            <w:tcBorders>
              <w:bottom w:val="single" w:sz="8" w:color="auto"/>
            </w:tcBorders>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27,656</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2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40,502</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(23,543 )</w:t>
            </w:r>
          </w:p>
        </w:tc>
        <w:tc>
          <w:tcPr>
            <w:tcW w:w="1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(34,886 )</w:t>
            </w:r>
          </w:p>
        </w:tc>
        <w:tc>
          <w:tcPr>
            <w:tcW w:w="0" w:type="dxa"/>
            <w:vAlign w:val="bottom"/>
          </w:tcPr>
          <w:p>
            <w:pPr>
              <w:spacing w:after="0"/>
              <w:rPr>
                <w:sz w:val="1"/>
                <w:szCs w:val="1"/>
                <w:color w:val="auto"/>
              </w:rPr>
            </w:pPr>
          </w:p>
        </w:tc>
      </w:tr>
      <w:tr>
        <w:trPr>
          <w:trHeight w:val="210"/>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(1,962 )</w:t>
            </w:r>
          </w:p>
        </w:tc>
        <w:tc>
          <w:tcPr>
            <w:tcW w:w="1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(3,441 )</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2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1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(22,706 )</w:t>
            </w:r>
          </w:p>
        </w:tc>
        <w:tc>
          <w:tcPr>
            <w:tcW w:w="12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(34,029 )</w:t>
            </w:r>
          </w:p>
        </w:tc>
        <w:tc>
          <w:tcPr>
            <w:tcW w:w="0" w:type="dxa"/>
            <w:vAlign w:val="bottom"/>
          </w:tcPr>
          <w:p>
            <w:pPr>
              <w:spacing w:after="0"/>
              <w:rPr>
                <w:sz w:val="1"/>
                <w:szCs w:val="1"/>
                <w:color w:val="auto"/>
              </w:rPr>
            </w:pPr>
          </w:p>
        </w:tc>
      </w:tr>
      <w:tr>
        <w:trPr>
          <w:trHeight w:val="216"/>
        </w:trPr>
        <w:tc>
          <w:tcPr>
            <w:tcW w:w="7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1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jc w:val="right"/>
              <w:ind w:right="103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(22,290 )</w:t>
            </w:r>
          </w:p>
        </w:tc>
        <w:tc>
          <w:tcPr>
            <w:tcW w:w="1240" w:type="dxa"/>
            <w:vAlign w:val="bottom"/>
            <w:shd w:val="clear" w:color="auto" w:fill="CFF0FC"/>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(33,407 )</w:t>
            </w:r>
          </w:p>
        </w:tc>
        <w:tc>
          <w:tcPr>
            <w:tcW w:w="0" w:type="dxa"/>
            <w:vAlign w:val="bottom"/>
          </w:tcPr>
          <w:p>
            <w:pPr>
              <w:spacing w:after="0"/>
              <w:rPr>
                <w:sz w:val="1"/>
                <w:szCs w:val="1"/>
                <w:color w:val="auto"/>
              </w:rPr>
            </w:pPr>
          </w:p>
        </w:tc>
      </w:tr>
      <w:tr>
        <w:trPr>
          <w:trHeight w:val="20"/>
        </w:trPr>
        <w:tc>
          <w:tcPr>
            <w:tcW w:w="70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220" w:type="dxa"/>
            <w:vAlign w:val="bottom"/>
          </w:tcPr>
          <w:p>
            <w:pPr>
              <w:jc w:val="right"/>
              <w:ind w:right="1037"/>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(1.05 )</w:t>
            </w:r>
          </w:p>
        </w:tc>
        <w:tc>
          <w:tcPr>
            <w:tcW w:w="1240" w:type="dxa"/>
            <w:vAlign w:val="bottom"/>
          </w:tcPr>
          <w:p>
            <w:pPr>
              <w:jc w:val="right"/>
              <w:ind w:right="105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04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122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21,238</w:t>
            </w:r>
          </w:p>
        </w:tc>
        <w:tc>
          <w:tcPr>
            <w:tcW w:w="2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04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2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-2167890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-1602105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-1036320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-462280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-445135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340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020" w:type="dxa"/>
            <w:vAlign w:val="bottom"/>
          </w:tcPr>
          <w:p>
            <w:pPr>
              <w:spacing w:after="0"/>
              <w:rPr>
                <w:sz w:val="12"/>
                <w:szCs w:val="12"/>
                <w:color w:val="auto"/>
              </w:rPr>
            </w:pPr>
          </w:p>
        </w:tc>
        <w:tc>
          <w:tcPr>
            <w:tcW w:w="12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(22,290 )</w:t>
            </w:r>
          </w:p>
        </w:tc>
        <w:tc>
          <w:tcPr>
            <w:tcW w:w="1240" w:type="dxa"/>
            <w:vAlign w:val="bottom"/>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(33,407 )</w:t>
            </w: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(loss) gain on marketable securities</w:t>
            </w:r>
          </w:p>
        </w:tc>
        <w:tc>
          <w:tcPr>
            <w:tcW w:w="1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(331 )</w:t>
            </w:r>
          </w:p>
        </w:tc>
        <w:tc>
          <w:tcPr>
            <w:tcW w:w="1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FF0FC"/>
          </w:tcPr>
          <w:p>
            <w:pPr>
              <w:spacing w:after="0"/>
              <w:rPr>
                <w:sz w:val="18"/>
                <w:szCs w:val="18"/>
                <w:color w:val="auto"/>
              </w:rPr>
            </w:pPr>
          </w:p>
        </w:tc>
      </w:tr>
      <w:tr>
        <w:trPr>
          <w:trHeight w:val="20"/>
        </w:trPr>
        <w:tc>
          <w:tcPr>
            <w:tcW w:w="70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2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(331 )</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4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(22,621 )</w:t>
            </w:r>
          </w:p>
        </w:tc>
        <w:tc>
          <w:tcPr>
            <w:tcW w:w="1240" w:type="dxa"/>
            <w:vAlign w:val="bottom"/>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(32,767 )</w:t>
            </w:r>
          </w:p>
        </w:tc>
      </w:tr>
      <w:tr>
        <w:trPr>
          <w:trHeight w:val="20"/>
        </w:trPr>
        <w:tc>
          <w:tcPr>
            <w:tcW w:w="70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-316230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120" w:type="dxa"/>
            <w:vAlign w:val="bottom"/>
            <w:gridSpan w:val="4"/>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9"/>
        </w:trPr>
        <w:tc>
          <w:tcPr>
            <w:tcW w:w="4480" w:type="dxa"/>
            <w:vAlign w:val="bottom"/>
          </w:tcPr>
          <w:p>
            <w:pPr>
              <w:spacing w:after="0"/>
              <w:rPr>
                <w:sz w:val="9"/>
                <w:szCs w:val="9"/>
                <w:color w:val="auto"/>
              </w:rPr>
            </w:pPr>
          </w:p>
        </w:tc>
        <w:tc>
          <w:tcPr>
            <w:tcW w:w="21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gridSpan w:val="2"/>
            <w:vMerge w:val="restart"/>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w w:val="90"/>
              </w:rPr>
              <w:t>ve</w:t>
            </w:r>
          </w:p>
        </w:tc>
        <w:tc>
          <w:tcPr>
            <w:tcW w:w="1100" w:type="dxa"/>
            <w:vAlign w:val="bottom"/>
            <w:gridSpan w:val="3"/>
            <w:vMerge w:val="continue"/>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44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9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9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4"/>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451,340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(323,040 )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(138 )</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(331 )</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(331 )</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(22,290 )</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(22,290 )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456,962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(345,330 )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448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Borders>
              <w:top w:val="single" w:sz="8" w:color="CFF0FC"/>
            </w:tcBorders>
            <w:vMerge w:val="restart"/>
          </w:tcPr>
          <w:p>
            <w:pPr>
              <w:spacing w:after="0"/>
              <w:rPr>
                <w:sz w:val="24"/>
                <w:szCs w:val="24"/>
                <w:color w:val="auto"/>
              </w:rPr>
            </w:pPr>
          </w:p>
        </w:tc>
        <w:tc>
          <w:tcPr>
            <w:tcW w:w="9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CFF0FC"/>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120" w:type="dxa"/>
            <w:vAlign w:val="bottom"/>
            <w:gridSpan w:val="4"/>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9"/>
        </w:trPr>
        <w:tc>
          <w:tcPr>
            <w:tcW w:w="4480" w:type="dxa"/>
            <w:vAlign w:val="bottom"/>
          </w:tcPr>
          <w:p>
            <w:pPr>
              <w:spacing w:after="0"/>
              <w:rPr>
                <w:sz w:val="9"/>
                <w:szCs w:val="9"/>
                <w:color w:val="auto"/>
              </w:rPr>
            </w:pPr>
          </w:p>
        </w:tc>
        <w:tc>
          <w:tcPr>
            <w:tcW w:w="21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gridSpan w:val="2"/>
            <w:vMerge w:val="restart"/>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w w:val="90"/>
              </w:rPr>
              <w:t>ve</w:t>
            </w:r>
          </w:p>
        </w:tc>
        <w:tc>
          <w:tcPr>
            <w:tcW w:w="1100" w:type="dxa"/>
            <w:vAlign w:val="bottom"/>
            <w:gridSpan w:val="3"/>
            <w:vMerge w:val="restart"/>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44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9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9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4"/>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2023</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424,693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(1,174 )</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(206,995 )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(184 )</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(33,407 )</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(33,407 )</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432,608</w:t>
            </w:r>
          </w:p>
        </w:tc>
        <w:tc>
          <w:tcPr>
            <w:tcW w:w="2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(240,402 )</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-1499235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-1482090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-1499235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-1482090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-1499235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-1482090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-1499235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-1482090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-1499235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-1482090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-170815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-170815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8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(22,290 )</w:t>
            </w:r>
          </w:p>
        </w:tc>
        <w:tc>
          <w:tcPr>
            <w:tcW w:w="1040" w:type="dxa"/>
            <w:vAlign w:val="bottom"/>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(33,407 )</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5,666</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8,099</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642</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Non-cash interest associated with the sale of future royalties</w:t>
            </w:r>
          </w:p>
        </w:tc>
        <w:tc>
          <w:tcPr>
            <w:tcW w:w="10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(536 )</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Non-cash royalty revenue</w:t>
            </w:r>
          </w:p>
        </w:tc>
        <w:tc>
          <w:tcPr>
            <w:tcW w:w="10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(1,281 )</w:t>
            </w: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Amortization of premiums on marketable securities</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4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Accounts receivable</w:t>
            </w:r>
          </w:p>
        </w:tc>
        <w:tc>
          <w:tcPr>
            <w:tcW w:w="10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(1,072 )</w:t>
            </w: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1,729</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Income tax receivable</w:t>
            </w:r>
          </w:p>
        </w:tc>
        <w:tc>
          <w:tcPr>
            <w:tcW w:w="10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(445 )</w:t>
            </w:r>
          </w:p>
        </w:tc>
        <w:tc>
          <w:tcPr>
            <w:tcW w:w="10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(730 )</w:t>
            </w:r>
          </w:p>
        </w:tc>
      </w:tr>
      <w:tr>
        <w:trPr>
          <w:trHeight w:val="216"/>
        </w:trPr>
        <w:tc>
          <w:tcPr>
            <w:tcW w:w="7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Other long-term assets</w:t>
            </w:r>
          </w:p>
        </w:tc>
        <w:tc>
          <w:tcPr>
            <w:tcW w:w="10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Accounts payable</w:t>
            </w:r>
          </w:p>
        </w:tc>
        <w:tc>
          <w:tcPr>
            <w:tcW w:w="10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(168 )</w:t>
            </w: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5,174</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Accrued expenses</w:t>
            </w:r>
          </w:p>
        </w:tc>
        <w:tc>
          <w:tcPr>
            <w:tcW w:w="10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(2,910 )</w:t>
            </w:r>
          </w:p>
        </w:tc>
        <w:tc>
          <w:tcPr>
            <w:tcW w:w="10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(6,736 )</w:t>
            </w:r>
          </w:p>
        </w:tc>
      </w:tr>
      <w:tr>
        <w:trPr>
          <w:trHeight w:val="216"/>
        </w:trPr>
        <w:tc>
          <w:tcPr>
            <w:tcW w:w="74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(1,023 )</w:t>
            </w:r>
          </w:p>
        </w:tc>
      </w:tr>
      <w:tr>
        <w:trPr>
          <w:trHeight w:val="203"/>
        </w:trPr>
        <w:tc>
          <w:tcPr>
            <w:tcW w:w="74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0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(14 )</w:t>
            </w:r>
          </w:p>
        </w:tc>
      </w:tr>
      <w:tr>
        <w:trPr>
          <w:trHeight w:val="20"/>
        </w:trPr>
        <w:tc>
          <w:tcPr>
            <w:tcW w:w="74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4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(16,801 )</w:t>
            </w:r>
          </w:p>
        </w:tc>
        <w:tc>
          <w:tcPr>
            <w:tcW w:w="10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(24,988 )</w:t>
            </w: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10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(146,845 )</w:t>
            </w: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maturities and sale of marketable securities</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77,648</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134,515</w:t>
            </w:r>
          </w:p>
        </w:tc>
        <w:tc>
          <w:tcPr>
            <w:tcW w:w="100" w:type="dxa"/>
            <w:vAlign w:val="bottom"/>
            <w:shd w:val="clear" w:color="auto" w:fill="CFF0FC"/>
          </w:tcPr>
          <w:p>
            <w:pPr>
              <w:spacing w:after="0"/>
              <w:rPr>
                <w:sz w:val="18"/>
                <w:szCs w:val="18"/>
                <w:color w:val="auto"/>
              </w:rPr>
            </w:pP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0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(8,745 )</w:t>
            </w:r>
          </w:p>
        </w:tc>
        <w:tc>
          <w:tcPr>
            <w:tcW w:w="10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(787 )</w:t>
            </w:r>
          </w:p>
        </w:tc>
      </w:tr>
      <w:tr>
        <w:trPr>
          <w:trHeight w:val="20"/>
        </w:trPr>
        <w:tc>
          <w:tcPr>
            <w:tcW w:w="7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0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68,903</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(13,117 )</w:t>
            </w:r>
          </w:p>
        </w:tc>
      </w:tr>
      <w:tr>
        <w:trPr>
          <w:trHeight w:val="209"/>
        </w:trPr>
        <w:tc>
          <w:tcPr>
            <w:tcW w:w="7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Payments on royalty sale liability, net of imputed interest</w:t>
            </w:r>
          </w:p>
        </w:tc>
        <w:tc>
          <w:tcPr>
            <w:tcW w:w="10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(4,943 )</w:t>
            </w:r>
          </w:p>
        </w:tc>
        <w:tc>
          <w:tcPr>
            <w:tcW w:w="10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(7,167 )</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for settlement of share-based awards</w:t>
            </w:r>
          </w:p>
        </w:tc>
        <w:tc>
          <w:tcPr>
            <w:tcW w:w="10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(137 )</w:t>
            </w:r>
          </w:p>
        </w:tc>
        <w:tc>
          <w:tcPr>
            <w:tcW w:w="10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(183 )</w:t>
            </w:r>
          </w:p>
        </w:tc>
      </w:tr>
      <w:tr>
        <w:trPr>
          <w:trHeight w:val="203"/>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the exercise of stock options</w:t>
            </w:r>
          </w:p>
        </w:tc>
        <w:tc>
          <w:tcPr>
            <w:tcW w:w="10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4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6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(4,986 )</w:t>
            </w:r>
          </w:p>
        </w:tc>
        <w:tc>
          <w:tcPr>
            <w:tcW w:w="10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(7,350 )</w:t>
            </w:r>
          </w:p>
        </w:tc>
      </w:tr>
      <w:tr>
        <w:trPr>
          <w:trHeight w:val="20"/>
        </w:trPr>
        <w:tc>
          <w:tcPr>
            <w:tcW w:w="7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(decrease) in cash, cash equivalents and restricted cash</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47,116</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(45,455 )</w:t>
            </w:r>
          </w:p>
        </w:tc>
      </w:tr>
      <w:tr>
        <w:trPr>
          <w:trHeight w:val="203"/>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0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41,201</w:t>
            </w:r>
          </w:p>
        </w:tc>
        <w:tc>
          <w:tcPr>
            <w:tcW w:w="2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89,356</w:t>
            </w:r>
          </w:p>
        </w:tc>
        <w:tc>
          <w:tcPr>
            <w:tcW w:w="100" w:type="dxa"/>
            <w:vAlign w:val="bottom"/>
          </w:tcPr>
          <w:p>
            <w:pPr>
              <w:spacing w:after="0"/>
              <w:rPr>
                <w:sz w:val="17"/>
                <w:szCs w:val="17"/>
                <w:color w:val="auto"/>
              </w:rPr>
            </w:pPr>
          </w:p>
        </w:tc>
      </w:tr>
      <w:tr>
        <w:trPr>
          <w:trHeight w:val="236"/>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060" w:type="dxa"/>
            <w:vAlign w:val="bottom"/>
            <w:tcBorders>
              <w:bottom w:val="single" w:sz="8" w:color="auto"/>
            </w:tcBorders>
            <w:shd w:val="clear" w:color="auto" w:fill="CFF0FC"/>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88,317</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43,901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information:</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1"/>
        </w:trPr>
        <w:tc>
          <w:tcPr>
            <w:tcW w:w="7480" w:type="dxa"/>
            <w:vAlign w:val="bottom"/>
            <w:shd w:val="clear" w:color="auto" w:fill="CFF0FC"/>
          </w:tcPr>
          <w:p>
            <w:pPr>
              <w:ind w:left="200"/>
              <w:spacing w:after="0" w:line="181" w:lineRule="exact"/>
              <w:rPr>
                <w:sz w:val="20"/>
                <w:szCs w:val="20"/>
                <w:color w:val="auto"/>
              </w:rPr>
            </w:pPr>
            <w:r>
              <w:rPr>
                <w:rFonts w:ascii="Times New Roman" w:cs="Times New Roman" w:eastAsia="Times New Roman" w:hAnsi="Times New Roman"/>
                <w:sz w:val="17"/>
                <w:szCs w:val="17"/>
                <w:color w:val="auto"/>
              </w:rPr>
              <w:t>Purchases of fixed assets included in accounts payable and</w:t>
            </w:r>
          </w:p>
        </w:tc>
        <w:tc>
          <w:tcPr>
            <w:tcW w:w="10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4"/>
        </w:trPr>
        <w:tc>
          <w:tcPr>
            <w:tcW w:w="74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accrued expenses</w:t>
            </w:r>
          </w:p>
        </w:tc>
        <w:tc>
          <w:tcPr>
            <w:tcW w:w="1060" w:type="dxa"/>
            <w:vAlign w:val="bottom"/>
            <w:shd w:val="clear" w:color="auto" w:fill="CFF0FC"/>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100" w:type="dxa"/>
            <w:vAlign w:val="bottom"/>
            <w:shd w:val="clear" w:color="auto" w:fill="CFF0FC"/>
          </w:tcPr>
          <w:p>
            <w:pPr>
              <w:spacing w:after="0"/>
              <w:rPr>
                <w:sz w:val="19"/>
                <w:szCs w:val="19"/>
                <w:color w:val="auto"/>
              </w:rPr>
            </w:pPr>
          </w:p>
        </w:tc>
      </w:tr>
      <w:tr>
        <w:trPr>
          <w:trHeight w:val="203"/>
        </w:trPr>
        <w:tc>
          <w:tcPr>
            <w:tcW w:w="7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220" w:type="dxa"/>
            <w:vAlign w:val="bottom"/>
          </w:tcPr>
          <w:p>
            <w:pPr>
              <w:spacing w:after="0"/>
              <w:rPr>
                <w:sz w:val="17"/>
                <w:szCs w:val="17"/>
                <w:color w:val="auto"/>
              </w:rPr>
            </w:pPr>
          </w:p>
        </w:tc>
        <w:tc>
          <w:tcPr>
            <w:tcW w:w="1040" w:type="dxa"/>
            <w:vAlign w:val="bottom"/>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0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paid for interest</w:t>
            </w: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3,008</w:t>
            </w:r>
          </w:p>
        </w:tc>
        <w:tc>
          <w:tcPr>
            <w:tcW w:w="220" w:type="dxa"/>
            <w:vAlign w:val="bottom"/>
          </w:tcPr>
          <w:p>
            <w:pPr>
              <w:spacing w:after="0"/>
              <w:rPr>
                <w:sz w:val="17"/>
                <w:szCs w:val="17"/>
                <w:color w:val="auto"/>
              </w:rPr>
            </w:pPr>
          </w:p>
        </w:tc>
        <w:tc>
          <w:tcPr>
            <w:tcW w:w="1040" w:type="dxa"/>
            <w:vAlign w:val="bottom"/>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3,143</w:t>
            </w:r>
          </w:p>
        </w:tc>
        <w:tc>
          <w:tcPr>
            <w:tcW w:w="100" w:type="dxa"/>
            <w:vAlign w:val="bottom"/>
          </w:tcPr>
          <w:p>
            <w:pPr>
              <w:spacing w:after="0"/>
              <w:rPr>
                <w:sz w:val="17"/>
                <w:szCs w:val="17"/>
                <w:color w:val="auto"/>
              </w:rPr>
            </w:pPr>
          </w:p>
        </w:tc>
      </w:tr>
      <w:tr>
        <w:trPr>
          <w:trHeight w:val="203"/>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Cash received from tenant improvement allowances</w:t>
            </w:r>
          </w:p>
        </w:tc>
        <w:tc>
          <w:tcPr>
            <w:tcW w:w="1060" w:type="dxa"/>
            <w:vAlign w:val="bottom"/>
            <w:shd w:val="clear" w:color="auto" w:fill="CFF0FC"/>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2,710</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-2853690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-2030730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-1482090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-933450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-916940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3"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2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Enanta Pharmaceuticals, Inc. (collectively with its subsidiary, the “Company”), incorporated in Delaware in 1995, is a biotechnology company that uses its robust, chemistry-driven approach and drug discovery capabilities to discover and develop small molecule drugs with an emphasis on virology and immunology indications. The Company discovered glecaprevir, the second of two antiviral protease inhibitors discovered and developed through its collaboration with AbbVie for the treatment of chronic infection with hepatitis C virus, or HCV. Glecaprevir is co-formulated as part of AbbVie’s leading brand of direct-acting antiviral, or DAA, combination treatment for HCV, which has been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since 2017.</w:t>
      </w:r>
    </w:p>
    <w:p>
      <w:pPr>
        <w:spacing w:after="0" w:line="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condensed consolidated balance sheet as of September 30, 2024 was derived from audited financial statements but does not include all disclosures required by accounting principles generally accepted in the United States of America (“GAAP”). The accompanying unaudited condensed consolidated financial statements as of December 31, 2024 and for the three months ended December 31, 2024 and 2023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condensed consolidated financial statements should be read in conjunction with the Company’s audited consolidated financial statements and the notes thereto included in the Company’s Annual Report on Form 10-K for the fiscal year ended September 30, 2024.</w:t>
      </w:r>
    </w:p>
    <w:p>
      <w:pPr>
        <w:spacing w:after="0" w:line="8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adjustments necessary for a fair statement of the Company’s financial position as of December 31, 2024 and results of operations for the three months ended December 31, 2024 and 2023 and cash flows for the three months ended December 31, 2024 and 2023 have been made. The results of operations for the three months ended December 31, 2024 are not necessarily indicative of the results of operations that may be expected for subsequent quarters or the year ending September 30, 2025.</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GAAP. All amounts in the condensed consolidated financial statements and in the notes to the condensed consolidated financial statements, except per share amounts, are in thousands unless otherwise indicated.</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based on continuity of operations, realization of assets and the satisfaction of liabilities and commitments in the ordinary course of business. The Company began reporting a net loss in fiscal 2020 and reported a net loss of $22,290 for the three months ended December 31, 2024 and $116,045 for the year ended September 30, 2024. As of December 31, 2024, the Company had an accumulated deficit of $345,330. The Company expects to continue to generate operating losses for the foreseeable future as the Company continues to advance its wholly-owned programs. As of December 31, 2024, the Company had $216,691 in cash, cash equivalents and short-term marketable securities. The Company expects that its cash, cash equivalents and short-term marketable securities will be sufficient to fund its operating expenses and capital expenditure requirements for at least 12 months from the issuance date of the interim condensed consolidated financial statements. The Company may seek additional funding through equity offerings, non-dilutive financings, collaborations, strategic alliances or licensing agreements. The Company may not be able to obtain sufficient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expansion or commercialization efforts, or the Company may be unable to continue operations.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the Company’s Significant Accounting Policies, please refer to its Annual Report on Form 10-K for the fiscal year ended September 30, 2024. Any reference in these notes to applicable guidance is meant to refer to the authoritative GAAP as found in the Accounting Standards Codification and Accounting Standards Update (“ASU”) of the Financial Accounting Standards Board (“FASB”).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and assumptions reflected in these condensed consolidated financial statements include, but are not limited to, management’s judgments with respect to its revenue arrangements; liability related to the sale of future royalties; valuation of stock-based awards and the accrual of research and development expenses. Estimates are periodically reviewed in light of changes in circumstances, facts and experience.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by the weighted average number of shares of common stock outstanding for the period. In periods in which the Company has reported a net loss, diluted net loss per common share is the same as basic net loss per common share since dilutive common shares are not assumed to have been issued if their effect is anti-dilutive. Therefore, the Company excluded the following potential common shares, presented based on amounts outstanding at each period end, from the computation of diluted net loss as its effect would have been anti-dilutive:</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7320" w:type="dxa"/>
            <w:vAlign w:val="bottom"/>
          </w:tcPr>
          <w:p>
            <w:pPr>
              <w:spacing w:after="0"/>
              <w:rPr>
                <w:sz w:val="13"/>
                <w:szCs w:val="13"/>
                <w:color w:val="auto"/>
              </w:rPr>
            </w:pPr>
          </w:p>
        </w:tc>
        <w:tc>
          <w:tcPr>
            <w:tcW w:w="114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9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3"/>
                <w:szCs w:val="13"/>
                <w:color w:val="auto"/>
              </w:rPr>
            </w:pPr>
          </w:p>
        </w:tc>
      </w:tr>
      <w:tr>
        <w:trPr>
          <w:trHeight w:val="169"/>
        </w:trPr>
        <w:tc>
          <w:tcPr>
            <w:tcW w:w="7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8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20" w:type="dxa"/>
            <w:vAlign w:val="bottom"/>
            <w:shd w:val="clear" w:color="auto" w:fill="CFF0FC"/>
          </w:tcPr>
          <w:p>
            <w:pPr>
              <w:spacing w:after="0"/>
              <w:rPr>
                <w:sz w:val="18"/>
                <w:szCs w:val="18"/>
                <w:color w:val="auto"/>
              </w:rPr>
            </w:pPr>
          </w:p>
        </w:tc>
      </w:tr>
      <w:tr>
        <w:trPr>
          <w:trHeight w:val="216"/>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rTSRUs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r>
      <w:tr>
        <w:trPr>
          <w:trHeight w:val="216"/>
        </w:trPr>
        <w:tc>
          <w:tcPr>
            <w:tcW w:w="8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PSUs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FF0FC"/>
          </w:tcPr>
          <w:p>
            <w:pPr>
              <w:spacing w:after="0"/>
              <w:rPr>
                <w:sz w:val="18"/>
                <w:szCs w:val="18"/>
                <w:color w:val="auto"/>
              </w:rPr>
            </w:pPr>
          </w:p>
        </w:tc>
      </w:tr>
      <w:tr>
        <w:trPr>
          <w:trHeight w:val="243"/>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This amendment is effective for the Company in the fiscal year beginning October 1, 2024, and interim periods within the fiscal year beginning October 1, 2025, on a retrospective basis with early adoption permitted. This accounting standard will require additional disclosures about segment information, however, the Company does not expect ASU 2023-07 to have a material impact on the Company’s consolidated financial position or results of operations.</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("ASU 2023-09"), which requires public entities, on an annual basis, to provide disclosure of specific categories in the rate reconciliation, as well as disclosure of income taxes paid disaggregated by jurisdiction. ASU 2023-09 is effective for the Company in the fiscal year beginning October 1, 2025, with early adoption permitted. The Company is currently evaluating the potential impact that ASU 2023-09 may have on its financial statement disclosures.</w:t>
      </w:r>
    </w:p>
    <w:p>
      <w:pPr>
        <w:spacing w:after="0" w:line="7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("ASU 2024-03"), which requires public entities to provide disaggregated disclosure of income statement expenses. Public entities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disaggregate, in a tabular presentation, each relevant expense caption on the face of the consolidated statements of operations such as the following expenses: purchases of inventory, employee compensation, intangible asset amortization, and depreciation. ASU 2024-03 is effective for the Company in the fiscal year beginning October 1, 2027, with early adoption permitted. The Company is currently evaluating the potential impact that ASU 2024-03 may have on its financial statement disclosures.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were subject to fair value measurement on a recurring basis as of December 31, 2024 and September 30, 2024, and indicate the fair value hierarchy of the valuation inputs utilized to determine such fair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8"/>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2024 Using:</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81,779</w:t>
            </w:r>
          </w:p>
        </w:tc>
        <w:tc>
          <w:tcPr>
            <w:tcW w:w="5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132,342</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214,121</w:t>
            </w:r>
          </w:p>
        </w:tc>
        <w:tc>
          <w:tcPr>
            <w:tcW w:w="54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214,121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9"/>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2024 Using:</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54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notes</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244,401</w:t>
            </w:r>
          </w:p>
        </w:tc>
        <w:tc>
          <w:tcPr>
            <w:tcW w:w="5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-2211070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-2193925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-2211070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-2193925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-2211070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-2193925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-2211070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-2193925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-1910715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-1910715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-1910715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-1910715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-616585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-616585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-616585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-616585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December 31, 2024 and 2023, there were no transfers between Level 1, Level 2 and Level 3.</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Level 2 instruments classified as marketable securities are typically determined through third-party pricing services. The pricing services use many observable market inputs to determine value, including reportable trades, benchmark yields, credit spreads, broker/dealer quotes, bids, offers, and current spot rates.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outstanding shares of Series 1 nonconvertible preferred stock as of December 31, 2024 and September 30, 2024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condensed consolidated statements of operations.</w:t>
      </w:r>
    </w:p>
    <w:p>
      <w:pPr>
        <w:spacing w:after="0" w:line="7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Range</w:t>
            </w:r>
          </w:p>
        </w:tc>
      </w:tr>
      <w:tr>
        <w:trPr>
          <w:trHeight w:val="253"/>
        </w:trPr>
        <w:tc>
          <w:tcPr>
            <w:tcW w:w="6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8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5"/>
        </w:trPr>
        <w:tc>
          <w:tcPr>
            <w:tcW w:w="648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20" w:type="dxa"/>
            <w:vAlign w:val="bottom"/>
          </w:tcPr>
          <w:p>
            <w:pPr>
              <w:spacing w:after="0"/>
              <w:rPr>
                <w:sz w:val="16"/>
                <w:szCs w:val="16"/>
                <w:color w:val="auto"/>
              </w:rPr>
            </w:pPr>
          </w:p>
        </w:tc>
        <w:tc>
          <w:tcPr>
            <w:tcW w:w="1780" w:type="dxa"/>
            <w:vAlign w:val="bottom"/>
            <w:tcBorders>
              <w:bottom w:val="single" w:sz="8" w:color="auto"/>
            </w:tcBorders>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37"/>
        </w:trPr>
        <w:tc>
          <w:tcPr>
            <w:tcW w:w="6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Probabilities of payout</w:t>
            </w:r>
          </w:p>
        </w:tc>
        <w:tc>
          <w:tcPr>
            <w:tcW w:w="1780" w:type="dxa"/>
            <w:vAlign w:val="bottom"/>
            <w:shd w:val="clear" w:color="auto" w:fill="CFF0FC"/>
          </w:tcPr>
          <w:p>
            <w:pPr>
              <w:jc w:val="center"/>
              <w:ind w:left="339"/>
              <w:spacing w:after="0"/>
              <w:rPr>
                <w:sz w:val="20"/>
                <w:szCs w:val="20"/>
                <w:color w:val="auto"/>
              </w:rPr>
            </w:pPr>
            <w:r>
              <w:rPr>
                <w:rFonts w:ascii="Times New Roman" w:cs="Times New Roman" w:eastAsia="Times New Roman" w:hAnsi="Times New Roman"/>
                <w:sz w:val="18"/>
                <w:szCs w:val="18"/>
                <w:color w:val="auto"/>
              </w:rPr>
              <w:t>0%-65%</w:t>
            </w:r>
          </w:p>
        </w:tc>
        <w:tc>
          <w:tcPr>
            <w:tcW w:w="2760" w:type="dxa"/>
            <w:vAlign w:val="bottom"/>
            <w:gridSpan w:val="3"/>
            <w:shd w:val="clear" w:color="auto" w:fill="CFF0FC"/>
          </w:tcPr>
          <w:p>
            <w:pPr>
              <w:jc w:val="center"/>
              <w:ind w:left="436"/>
              <w:spacing w:after="0"/>
              <w:rPr>
                <w:sz w:val="20"/>
                <w:szCs w:val="20"/>
                <w:color w:val="auto"/>
              </w:rPr>
            </w:pPr>
            <w:r>
              <w:rPr>
                <w:rFonts w:ascii="Times New Roman" w:cs="Times New Roman" w:eastAsia="Times New Roman" w:hAnsi="Times New Roman"/>
                <w:sz w:val="18"/>
                <w:szCs w:val="18"/>
                <w:color w:val="auto"/>
              </w:rPr>
              <w:t>0%-65%</w:t>
            </w:r>
          </w:p>
        </w:tc>
      </w:tr>
      <w:tr>
        <w:trPr>
          <w:trHeight w:val="24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780" w:type="dxa"/>
            <w:vAlign w:val="bottom"/>
          </w:tcPr>
          <w:p>
            <w:pPr>
              <w:jc w:val="center"/>
              <w:ind w:left="319"/>
              <w:spacing w:after="0"/>
              <w:rPr>
                <w:sz w:val="20"/>
                <w:szCs w:val="20"/>
                <w:color w:val="auto"/>
              </w:rPr>
            </w:pPr>
            <w:r>
              <w:rPr>
                <w:rFonts w:ascii="Times New Roman" w:cs="Times New Roman" w:eastAsia="Times New Roman" w:hAnsi="Times New Roman"/>
                <w:sz w:val="18"/>
                <w:szCs w:val="18"/>
                <w:color w:val="auto"/>
                <w:w w:val="98"/>
              </w:rPr>
              <w:t>9.00%</w:t>
            </w:r>
          </w:p>
        </w:tc>
        <w:tc>
          <w:tcPr>
            <w:tcW w:w="2760" w:type="dxa"/>
            <w:vAlign w:val="bottom"/>
            <w:gridSpan w:val="3"/>
          </w:tcPr>
          <w:p>
            <w:pPr>
              <w:jc w:val="center"/>
              <w:ind w:left="436"/>
              <w:spacing w:after="0"/>
              <w:rPr>
                <w:sz w:val="20"/>
                <w:szCs w:val="20"/>
                <w:color w:val="auto"/>
              </w:rPr>
            </w:pPr>
            <w:r>
              <w:rPr>
                <w:rFonts w:ascii="Times New Roman" w:cs="Times New Roman" w:eastAsia="Times New Roman" w:hAnsi="Times New Roman"/>
                <w:sz w:val="18"/>
                <w:szCs w:val="18"/>
                <w:color w:val="auto"/>
              </w:rPr>
              <w:t>9.00%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fair value of nonconvertible preferred stock during the three months ended December 31, 2024 and 2023.</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future quarterly royalty payments on net sales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ind w:right="140"/>
        <w:spacing w:after="0" w:line="261" w:lineRule="auto"/>
        <w:rPr>
          <w:sz w:val="20"/>
          <w:szCs w:val="20"/>
          <w:color w:val="auto"/>
        </w:rPr>
      </w:pPr>
      <w:r>
        <w:rPr>
          <w:rFonts w:ascii="Times New Roman" w:cs="Times New Roman" w:eastAsia="Times New Roman" w:hAnsi="Times New Roman"/>
          <w:sz w:val="18"/>
          <w:szCs w:val="18"/>
          <w:color w:val="auto"/>
        </w:rPr>
        <w:t>MAVYRET/MAVIRET, after June 30, 2023, through June 30, 2032, subject to a cap on aggregate payments equal to 1.42 times the purchase price. The Company accounted for the upfront payment as a liability related to the sale of future royalties. The carrying value of the liability related to the sale of future royalties approximates fair value as of December 31, 2024 and is based on current estimates of future royalties expected to be paid to OMERS over the next 8 years, which are considered Level 3 inputs. See Note 8 for a rollforward of the liability.</w:t>
      </w:r>
    </w:p>
    <w:p>
      <w:pPr>
        <w:spacing w:after="0" w:line="68"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September 30, 2024, the fair value of available-for-sale marketable securities, by type of security, was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131,987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131,987</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notes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210,267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-1148080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-1148080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-1148080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-1148080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September 30, 2024, marketable securities consisted of investments that mature within one year.</w:t>
      </w:r>
    </w:p>
    <w:p>
      <w:pPr>
        <w:spacing w:after="0" w:line="221"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December 31, 2024 and September 30,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35,726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57,735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Pr>
          <w:p>
            <w:pPr>
              <w:spacing w:after="0"/>
              <w:rPr>
                <w:sz w:val="18"/>
                <w:szCs w:val="18"/>
                <w:color w:val="auto"/>
              </w:rPr>
            </w:pPr>
          </w:p>
        </w:tc>
        <w:tc>
          <w:tcPr>
            <w:tcW w:w="16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(20,129 )</w:t>
            </w:r>
          </w:p>
        </w:tc>
        <w:tc>
          <w:tcPr>
            <w:tcW w:w="3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(25,047 )</w:t>
            </w:r>
          </w:p>
        </w:tc>
      </w:tr>
      <w:tr>
        <w:trPr>
          <w:trHeight w:val="250"/>
        </w:trPr>
        <w:tc>
          <w:tcPr>
            <w:tcW w:w="77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37,368</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December 31, 2024, construction in progress related primarily to leasehold improvements for the new laboratory and office space located at 4 Kingsbury Avenue in Watertown, Massachusetts.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December 31, 2024 and September 30,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820" w:type="dxa"/>
            <w:vAlign w:val="bottom"/>
          </w:tcPr>
          <w:p>
            <w:pPr>
              <w:spacing w:after="0"/>
              <w:rPr>
                <w:sz w:val="15"/>
                <w:szCs w:val="15"/>
                <w:color w:val="auto"/>
              </w:rPr>
            </w:pPr>
          </w:p>
        </w:tc>
        <w:tc>
          <w:tcPr>
            <w:tcW w:w="14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6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4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460" w:type="dxa"/>
            <w:vAlign w:val="bottom"/>
            <w:shd w:val="clear" w:color="auto" w:fill="CFF0FC"/>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pharmaceutical drug manufacturing</w:t>
            </w:r>
          </w:p>
        </w:tc>
        <w:tc>
          <w:tcPr>
            <w:tcW w:w="1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8"/>
                <w:szCs w:val="18"/>
                <w:color w:val="auto"/>
              </w:rPr>
            </w:pPr>
          </w:p>
        </w:tc>
      </w:tr>
      <w:tr>
        <w:trPr>
          <w:trHeight w:val="216"/>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4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tcPr>
          <w:p>
            <w:pPr>
              <w:spacing w:after="0"/>
              <w:rPr>
                <w:sz w:val="18"/>
                <w:szCs w:val="18"/>
                <w:color w:val="auto"/>
              </w:rPr>
            </w:pPr>
          </w:p>
        </w:tc>
        <w:tc>
          <w:tcPr>
            <w:tcW w:w="1460" w:type="dxa"/>
            <w:vAlign w:val="bottom"/>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10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AbbVie Collaboration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$1,326,000 through December 31, 2024. Since the Company satisfied all of its performance obligations under the AbbVie Agreement by the end of fiscal 2011, all milestone payments received since then have been recognized as revenue when the milestones were achieved by AbbVie.</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95"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Related to the Sale of Future Royalties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Because the royalty sale agreement will be paid back to OMERS up to a capped amount as well as the Company’s significant continuing involvement in the generation of future cash flows under its AbbVie Agreement, the Company recorded the proceeds from the transaction as a liability on its condensed consolidated balance sheets which will be amortized as interest expense in the condensed consolidated statements of operations under the effective interest rate method over the life of the royalty sale agreement. The Company will continue to record the full amount of royalties earned on MAVYRET/MAVIRET sales as royalty revenue in the condensed consolidated statements of operations.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liability related to the sale of future royalties is estimated based on forecasted worldwide MAVYRET/MAVYRET royalties to be paid to OMERS over the course of the royalty sale agreement. This estimate requires significant judgment, including the amount and timing of royalty payments up until the end of the royalty sale agreement, which is estimated to be the stated term of June 30, 2032. As royalties are earned by OMERS, the liability is reduced on the Company’s condensed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estimated future cash flows resulted in an effective annual imputed interest rate of approximately 5.8%.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liability related to the sale of future royalties: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Liability related to the sale of future</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royalties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2024</w:t>
            </w:r>
          </w:p>
        </w:tc>
        <w:tc>
          <w:tcPr>
            <w:tcW w:w="3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Royalty payable to purchaser</w:t>
            </w: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(9,241 )</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 of capitalized interest of $519</w:t>
            </w:r>
          </w:p>
        </w:tc>
        <w:tc>
          <w:tcPr>
            <w:tcW w:w="37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3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740" w:type="dxa"/>
            <w:vAlign w:val="bottom"/>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Series 1 Nonconvertible Preferred Stock</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As of December 31, 2024, 1,930 shares of Series 1 nonconvertible preferred stock were issued and outstanding. The outstanding shares are financial instruments that might require a transfer of assets because of the liquidation features in the contract and are carried at fair value as a liability on the Company’s condensed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Awards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March 2022, March 2023, March 2024 and December 2024, and its 2024 Inducement Stock Incentive Plan, which was adopted by the Board of Directors in April 2024 and amended in December 2024 for awards to new employees. The Company also has outstanding stock option awards under its 2012 Equity Incentive Plan (the “2012 Plan”) but is no longer granting awards under this plan.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including performance-based options, for the year-to-date period ending December 31,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06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220" w:type="dxa"/>
            <w:vAlign w:val="bottom"/>
          </w:tcPr>
          <w:p>
            <w:pPr>
              <w:spacing w:after="0"/>
              <w:rPr>
                <w:sz w:val="12"/>
                <w:szCs w:val="12"/>
                <w:color w:val="auto"/>
              </w:rPr>
            </w:pPr>
          </w:p>
        </w:tc>
        <w:tc>
          <w:tcPr>
            <w:tcW w:w="10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220" w:type="dxa"/>
            <w:vAlign w:val="bottom"/>
          </w:tcPr>
          <w:p>
            <w:pPr>
              <w:spacing w:after="0"/>
              <w:rPr>
                <w:sz w:val="12"/>
                <w:szCs w:val="12"/>
                <w:color w:val="auto"/>
              </w:rPr>
            </w:pPr>
          </w:p>
        </w:tc>
        <w:tc>
          <w:tcPr>
            <w:tcW w:w="106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0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15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1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(17 )</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(217 )</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6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FF0FC"/>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Options vested and expected to vest as of</w:t>
            </w: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December 31, 2024</w:t>
            </w:r>
          </w:p>
        </w:tc>
        <w:tc>
          <w:tcPr>
            <w:tcW w:w="15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36.69</w:t>
            </w:r>
          </w:p>
        </w:tc>
        <w:tc>
          <w:tcPr>
            <w:tcW w:w="1640" w:type="dxa"/>
            <w:vAlign w:val="bottom"/>
            <w:tcBorders>
              <w:bottom w:val="single" w:sz="8" w:color="CFF0FC"/>
            </w:tcBorders>
            <w:gridSpan w:val="2"/>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6.9</w:t>
            </w:r>
          </w:p>
        </w:tc>
        <w:tc>
          <w:tcPr>
            <w:tcW w:w="380" w:type="dxa"/>
            <w:vAlign w:val="bottom"/>
            <w:tcBorders>
              <w:bottom w:val="single" w:sz="8" w:color="CFF0FC"/>
            </w:tcBorders>
            <w:gridSpan w:val="2"/>
            <w:shd w:val="clear" w:color="auto" w:fill="CFF0FC"/>
          </w:tcPr>
          <w:p>
            <w:pPr>
              <w:jc w:val="right"/>
              <w:ind w:right="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FF0FC"/>
            </w:tcBorders>
            <w:gridSpan w:val="2"/>
            <w:shd w:val="clear" w:color="auto" w:fill="CFF0FC"/>
          </w:tcPr>
          <w:p>
            <w:pPr>
              <w:jc w:val="right"/>
              <w:ind w:right="140"/>
              <w:spacing w:after="0" w:line="19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exercisable as of December 31, 2024</w:t>
            </w: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3,457</w:t>
            </w:r>
          </w:p>
        </w:tc>
        <w:tc>
          <w:tcPr>
            <w:tcW w:w="24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50.30</w:t>
            </w:r>
          </w:p>
        </w:tc>
        <w:tc>
          <w:tcPr>
            <w:tcW w:w="16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3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-607695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-187960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-170815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Performance-Based Stock Unit Awards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for the year-to-date period ending December 31, 2024:</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rTSRUs</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center"/>
              <w:ind w:right="9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80" w:type="dxa"/>
            <w:vAlign w:val="bottom"/>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220" w:type="dxa"/>
            <w:vAlign w:val="bottom"/>
          </w:tcPr>
          <w:p>
            <w:pPr>
              <w:spacing w:after="0"/>
              <w:rPr>
                <w:sz w:val="12"/>
                <w:szCs w:val="12"/>
                <w:color w:val="auto"/>
              </w:rPr>
            </w:pPr>
          </w:p>
        </w:tc>
        <w:tc>
          <w:tcPr>
            <w:tcW w:w="142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280" w:type="dxa"/>
            <w:vAlign w:val="bottom"/>
            <w:tcBorders>
              <w:top w:val="single" w:sz="8" w:color="auto"/>
            </w:tcBorders>
          </w:tcPr>
          <w:p>
            <w:pPr>
              <w:jc w:val="center"/>
              <w:ind w:left="18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Borders>
              <w:top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2024</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92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5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28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92</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610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-933450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-916305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-933450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-916305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for the year-to-date period ending December 31,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70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6720" w:type="dxa"/>
            <w:vAlign w:val="bottom"/>
          </w:tcPr>
          <w:p>
            <w:pPr>
              <w:spacing w:after="0"/>
              <w:rPr>
                <w:sz w:val="15"/>
                <w:szCs w:val="15"/>
                <w:color w:val="auto"/>
              </w:rPr>
            </w:pPr>
          </w:p>
        </w:tc>
        <w:tc>
          <w:tcPr>
            <w:tcW w:w="170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700" w:type="dxa"/>
            <w:vAlign w:val="bottom"/>
            <w:tcBorders>
              <w:top w:val="single" w:sz="8" w:color="auto"/>
            </w:tcBorders>
          </w:tcPr>
          <w:p>
            <w:pPr>
              <w:jc w:val="center"/>
              <w:ind w:left="38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September 30, 2024</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(144 )</w:t>
            </w: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7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700" w:type="dxa"/>
            <w:vAlign w:val="bottom"/>
            <w:tcBorders>
              <w:top w:val="single" w:sz="8" w:color="auto"/>
              <w:bottom w:val="single" w:sz="8" w:color="auto"/>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December 31, 2024 and 2023, the Company recognized the following stock-based compensation expense: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3700" w:type="dxa"/>
            <w:vAlign w:val="bottom"/>
            <w:tcBorders>
              <w:bottom w:val="single" w:sz="8" w:color="auto"/>
            </w:tcBorders>
            <w:gridSpan w:val="4"/>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6780" w:type="dxa"/>
            <w:vAlign w:val="bottom"/>
          </w:tcPr>
          <w:p>
            <w:pPr>
              <w:spacing w:after="0"/>
              <w:rPr>
                <w:sz w:val="13"/>
                <w:szCs w:val="13"/>
                <w:color w:val="auto"/>
              </w:rPr>
            </w:pPr>
          </w:p>
        </w:tc>
        <w:tc>
          <w:tcPr>
            <w:tcW w:w="146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Borders>
              <w:bottom w:val="single" w:sz="8" w:color="auto"/>
            </w:tcBorders>
          </w:tcPr>
          <w:p>
            <w:pPr>
              <w:jc w:val="right"/>
              <w:ind w:right="119"/>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40" w:type="dxa"/>
            <w:vAlign w:val="bottom"/>
            <w:gridSpan w:val="3"/>
          </w:tcPr>
          <w:p>
            <w:pPr>
              <w:jc w:val="center"/>
              <w:ind w:right="75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shd w:val="clear" w:color="auto" w:fill="CFF0FC"/>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560" w:type="dxa"/>
            <w:vAlign w:val="bottom"/>
            <w:gridSpan w:val="2"/>
            <w:shd w:val="clear" w:color="auto" w:fill="CFF0FC"/>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2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100" w:type="dxa"/>
            <w:vAlign w:val="bottom"/>
          </w:tcPr>
          <w:p>
            <w:pPr>
              <w:spacing w:after="0"/>
              <w:rPr>
                <w:sz w:val="18"/>
                <w:szCs w:val="18"/>
                <w:color w:val="auto"/>
              </w:rPr>
            </w:pPr>
          </w:p>
        </w:tc>
      </w:tr>
      <w:tr>
        <w:trPr>
          <w:trHeight w:val="249"/>
        </w:trPr>
        <w:tc>
          <w:tcPr>
            <w:tcW w:w="678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11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07"/>
        </w:trPr>
        <w:tc>
          <w:tcPr>
            <w:tcW w:w="6780" w:type="dxa"/>
            <w:vAlign w:val="bottom"/>
          </w:tcPr>
          <w:p>
            <w:pPr>
              <w:spacing w:after="0"/>
              <w:rPr>
                <w:sz w:val="24"/>
                <w:szCs w:val="24"/>
                <w:color w:val="auto"/>
              </w:rPr>
            </w:pPr>
          </w:p>
        </w:tc>
        <w:tc>
          <w:tcPr>
            <w:tcW w:w="3700" w:type="dxa"/>
            <w:vAlign w:val="bottom"/>
            <w:tcBorders>
              <w:bottom w:val="single" w:sz="8" w:color="auto"/>
            </w:tcBorders>
            <w:gridSpan w:val="4"/>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6780" w:type="dxa"/>
            <w:vAlign w:val="bottom"/>
          </w:tcPr>
          <w:p>
            <w:pPr>
              <w:spacing w:after="0"/>
              <w:rPr>
                <w:sz w:val="13"/>
                <w:szCs w:val="13"/>
                <w:color w:val="auto"/>
              </w:rPr>
            </w:pPr>
          </w:p>
        </w:tc>
        <w:tc>
          <w:tcPr>
            <w:tcW w:w="146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Borders>
              <w:bottom w:val="single" w:sz="8" w:color="auto"/>
            </w:tcBorders>
          </w:tcPr>
          <w:p>
            <w:pPr>
              <w:jc w:val="right"/>
              <w:ind w:right="119"/>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40" w:type="dxa"/>
            <w:vAlign w:val="bottom"/>
            <w:gridSpan w:val="3"/>
          </w:tcPr>
          <w:p>
            <w:pPr>
              <w:jc w:val="center"/>
              <w:ind w:right="75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shd w:val="clear" w:color="auto" w:fill="CFF0FC"/>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560" w:type="dxa"/>
            <w:vAlign w:val="bottom"/>
            <w:gridSpan w:val="2"/>
            <w:shd w:val="clear" w:color="auto" w:fill="CFF0FC"/>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rTSRUs</w:t>
            </w:r>
          </w:p>
        </w:tc>
        <w:tc>
          <w:tcPr>
            <w:tcW w:w="14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1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8"/>
                <w:szCs w:val="18"/>
                <w:color w:val="auto"/>
              </w:rPr>
            </w:pPr>
          </w:p>
        </w:tc>
      </w:tr>
      <w:tr>
        <w:trPr>
          <w:trHeight w:val="249"/>
        </w:trPr>
        <w:tc>
          <w:tcPr>
            <w:tcW w:w="678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12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115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-1294130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-1276350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-1294130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and 2023, the Company recognized stock-based compensation expense for performance-based stock units for which vesting became probable upon achievement of performance-based targets that occurred during the performance period.</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an aggregate of $31,787 of unrecognized stock-based compensation cost, which is expected to be recognized over a weighted average period of 2.3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2024 and 2023, the Company recorded an income tax benefit of $416 and $622 respectively, due to interest recorded on a pending federal income tax refund.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Contingencies Related to Use of Intellectual Property</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Except as described below, the Company currently is not a party to any material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4" w:name="page15"/>
    <w:bookmarkEnd w:id="14"/>
    <w:p>
      <w:pPr>
        <w:spacing w:after="0" w:line="253" w:lineRule="auto"/>
        <w:rPr>
          <w:sz w:val="20"/>
          <w:szCs w:val="20"/>
          <w:color w:val="auto"/>
        </w:rPr>
      </w:pPr>
      <w:r>
        <w:rPr>
          <w:rFonts w:ascii="Times New Roman" w:cs="Times New Roman" w:eastAsia="Times New Roman" w:hAnsi="Times New Roman"/>
          <w:sz w:val="18"/>
          <w:szCs w:val="18"/>
          <w:color w:val="auto"/>
        </w:rPr>
        <w:t>In June 2022, the Company announced that it filed suit in the United States District Court for the District of Massachusetts on June 21, 2022, against Pfizer, Inc. seeking damages for infringement of U.S. Patent No. 11,358,953 (the ’953 Patent) in the manufacture, use and sale of Pfizer’s COVID-19 antiviral, Paxlovid™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 claimed in the ‘953 patent. In May 2024, the Company and Pfizer each filed motions for summary judgment and a hearing on the motions was held on July 31, 2024. On December 23, 2024, the District Court issued a summary judgment decision ruling that the asserted claims of the ’953 Patent were invalid. In its decision, the District Court also denied the Company’s partial motion for summary judgment of infringement as moot in light of its allowance of summary judgment on invalidity. On February 3, 2025, the Company filed a notice of appeal with the United States Court of Appeals for the Federal Circuit. The timing for a decision on the appeal is currently uncertain. The Company records all legal expenses associated with the patent infringement suit as incurred in the consolidated statements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 does not believe that the outcome of any claims under indemnification arrangements will have a material effect on its financial position, results of operations or cash flows, and has not accrued any liabilities related to such obligations in its condensed consolidated financial statements as of December 31,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has two real estate leases for properties located in Watertown, Massachusetts. The first lease is for office space located at 400 Talcott Avenue and the second lease is for office and laboratory space located at 4 Kingsbury Avenue.</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Future annual minimum facility and equipment lease payments, net of the tenant improvement allowance under the Company’s 4 Kingsbury Avenue lease, as of December 31, 2024,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ended September 30,</w:t>
            </w:r>
          </w:p>
        </w:tc>
        <w:tc>
          <w:tcPr>
            <w:tcW w:w="4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Remaining fiscal 2025</w:t>
            </w:r>
          </w:p>
        </w:tc>
        <w:tc>
          <w:tcPr>
            <w:tcW w:w="512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(31,675 )</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tenant improvement allowance</w:t>
            </w:r>
          </w:p>
        </w:tc>
        <w:tc>
          <w:tcPr>
            <w:tcW w:w="4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(3,539 )</w:t>
            </w:r>
          </w:p>
        </w:tc>
        <w:tc>
          <w:tcPr>
            <w:tcW w:w="0" w:type="dxa"/>
            <w:vAlign w:val="bottom"/>
          </w:tcPr>
          <w:p>
            <w:pPr>
              <w:spacing w:after="0"/>
              <w:rPr>
                <w:sz w:val="1"/>
                <w:szCs w:val="1"/>
                <w:color w:val="auto"/>
              </w:rPr>
            </w:pPr>
          </w:p>
        </w:tc>
      </w:tr>
      <w:tr>
        <w:trPr>
          <w:trHeight w:val="210"/>
        </w:trPr>
        <w:tc>
          <w:tcPr>
            <w:tcW w:w="4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800" w:type="dxa"/>
            <w:vAlign w:val="bottom"/>
            <w:tcBorders>
              <w:top w:val="single" w:sz="8" w:color="CFF0FC"/>
            </w:tcBorders>
            <w:gridSpan w:val="2"/>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4600" w:type="dxa"/>
            <w:vAlign w:val="bottom"/>
            <w:vMerge w:val="restart"/>
          </w:tcPr>
          <w:p>
            <w:pPr>
              <w:jc w:val="right"/>
              <w:ind w:right="293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4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notes thereto included elsewhere in this Quarterly Report on Form 10-Q, or Form 10-Q, and the audited consolidated financial statements and notes thereto for our fiscal year ended September 30, 2024 included in our Annual Report on Form 10-K for that fiscal year, which is referred to as our 2024 Form 10-K. Please refer to our note regarding forward-looking statements on page 2 of this Form 10-Q, which is incorporated herein by this reference.</w:t>
      </w:r>
    </w:p>
    <w:p>
      <w:pPr>
        <w:spacing w:after="0" w:line="75"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The Enanta name and logo are our trademarks. This Form 10-Q also includes trademarks, trade names and service marks of other persons. All other trademarks, trade names and service marks appearing in this Form 10-Q are the property of their respective owners.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discover and develop small molecule drugs with an emphasis on virology and immunology.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Virology:</w:t>
      </w:r>
    </w:p>
    <w:p>
      <w:pPr>
        <w:spacing w:after="0" w:line="119"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We discovered glecaprevir, the second of two antiviral protease inhibitors discovered and developed through our collaboration with AbbVie for the treatment of chronic infection with hepatitis C virus, or HCV. Glecaprevir is co-formulated as part of AbbVie’s leading brand of direct-acting antiviral, or DAA, combination treatment for HCV, which has been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since 2017.</w:t>
      </w:r>
    </w:p>
    <w:p>
      <w:pPr>
        <w:spacing w:after="0" w:line="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active development programs in virology are focused on respiratory syncytial virus, or RSV, the most common cause of bronchiolitis and pneumonia and leading cause of U.S. hospitalization in young children and a significant cause of respiratory illness in older adults, with estimates suggesting that on average each year RSV leads to three million hospitalizations globally in children under 5 years old and 177,000 hospitalizations in the U.S. in adults over the age of 65.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development programs in virology for the following disease targets:</w:t>
      </w:r>
    </w:p>
    <w:p>
      <w:pPr>
        <w:spacing w:after="0" w:line="117" w:lineRule="exact"/>
        <w:rPr>
          <w:sz w:val="20"/>
          <w:szCs w:val="20"/>
          <w:color w:val="auto"/>
        </w:rPr>
      </w:pPr>
    </w:p>
    <w:p>
      <w:pPr>
        <w:ind w:left="1020" w:right="1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SARS-CoV-2, the virus that causes COVID-19, with estimates suggesting that COVID-19 continues to have a disease burden greater than influenza, including persistent cases of infection often referred to as long COVID and hospitalization and death among the elderly and those with comorbidities, while new variants continue to emerge on a regular basis; and</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Hepatitis B virus, or HBV, the most prevalent chronic hepatitis, which is estimated by the World Health Organization to affect close to 300 million individuals worldwide.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Immunology:</w:t>
      </w:r>
    </w:p>
    <w:p>
      <w:pPr>
        <w:spacing w:after="0" w:line="11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immunology, we are designing and developing highly potent and selective, oral small molecule inhibitors for the treatment of inflammatory disease by targeting key mechanisms of immune response. Our initial focus has been on mechanisms involved in an overactive type 2 immune response, which is the reaction of the body's immune system when the body detects infections or allergens and sends out immune cells to fight them. An overactive response is a primary driver of a number of inflammatory diseases.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initial immunology targets involve the following mechanisms of immune response:</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receptor tyrosine kinase, known as KIT, which is critical for regulating mast cell activity; and</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STAT6, a transcription factor uniquely responsible for interleukin-4 (IL-4)/interleukin-13 (IL-13) cell signaling, the factors that play important roles in regulating the responses of lymphocytes, myeloid cells, and non-hematopoietic cells within the immune system.</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These mechanisms are implicated, along with others, in several diseases, and it is not uncommon for an efficacious treatment for one disease to be tested and approved for other immunology indications. We currently plan to focus our immunology drug development efforts on the following disease indications:</w:t>
      </w:r>
    </w:p>
    <w:p>
      <w:pPr>
        <w:spacing w:after="0" w:line="68" w:lineRule="exact"/>
        <w:rPr>
          <w:sz w:val="20"/>
          <w:szCs w:val="20"/>
          <w:color w:val="auto"/>
        </w:rPr>
      </w:pPr>
    </w:p>
    <w:p>
      <w:pPr>
        <w:ind w:left="1020" w:right="4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spontaneous urticaria, or CSU, a severely debilitating, chronic inflammatory skin disease manifested by hives, angioedema, which is swelling of soft tissues, or both, but with no identified triggers, which has an estimated global prevalence of between 0.5% – 1% of the population, resulting in approximately 1.75-3.5 million people with this condition at any given time in the U.S. alone; and</w:t>
      </w:r>
    </w:p>
    <w:p>
      <w:pPr>
        <w:spacing w:after="0" w:line="6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 or AD, a chronic dermatological disease characterized by dry, red, inflamed, irritated and itchy skin with significant quality of life impacts such as leading a limited lifestyle, avoidance of social interactions and a reduced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ind w:left="1020"/>
        <w:spacing w:after="0"/>
        <w:rPr>
          <w:sz w:val="20"/>
          <w:szCs w:val="20"/>
          <w:color w:val="auto"/>
        </w:rPr>
      </w:pPr>
      <w:r>
        <w:rPr>
          <w:rFonts w:ascii="Times New Roman" w:cs="Times New Roman" w:eastAsia="Times New Roman" w:hAnsi="Times New Roman"/>
          <w:sz w:val="18"/>
          <w:szCs w:val="18"/>
          <w:color w:val="auto"/>
        </w:rPr>
        <w:t>range of activities, with AD affecting 7.3% of the US adult population, of whom approximately 40% have moderate to severe disease.</w:t>
      </w:r>
    </w:p>
    <w:p>
      <w:pPr>
        <w:spacing w:after="0" w:line="11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2024, we had $216.7 million in cash, cash equivalents and short-term marketable securities. We expect that our existing cash, cash equivalents, short-term marketable securities, as well as the cash flows from our retained portion of future HCV royalties and our forthcoming federal tax refund, will enable us to fund our operating expenses and capital expenditure requirements into fiscal 2028.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wholly-owned research and development programs are in virology and immunology.</w:t>
      </w:r>
    </w:p>
    <w:p>
      <w:pPr>
        <w:spacing w:after="0" w:line="113"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b w:val="1"/>
          <w:bCs w:val="1"/>
          <w:color w:val="auto"/>
        </w:rPr>
        <w:t>RSV</w:t>
      </w:r>
      <w:r>
        <w:rPr>
          <w:rFonts w:ascii="Times New Roman" w:cs="Times New Roman" w:eastAsia="Times New Roman" w:hAnsi="Times New Roman"/>
          <w:sz w:val="18"/>
          <w:szCs w:val="18"/>
          <w:color w:val="auto"/>
        </w:rPr>
        <w:t>. In virology, we have two clinical stage product candidates for RSV – zelicapavir (formerly EDP-938) and EDP-323. Both of these compounds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replication inhibitors that work by shutting down replication and the production of new virions, as opposed to the other mechanism in development of fusion inhibition that only blocks viral entry. Zelicapavir, which has Fast Track designation from the U.S. Food and Drug Administration, or FDA, is a potent inhibitor of the RSV N-protein for both major subgroups of RSV, referred to as RSV-A and RSV-B. Zelicapavir is being studied in two Phase 2 studies, each in a different high risk patient population. EDP-323, which also has a Fast Track designation from the FDA, is an inhibitor of the RSV L-protein for both major subgroups of RSV that has recently completed a Phase 2 challenge study.</w:t>
      </w:r>
    </w:p>
    <w:p>
      <w:pPr>
        <w:spacing w:after="0" w:line="76" w:lineRule="exact"/>
        <w:rPr>
          <w:sz w:val="20"/>
          <w:szCs w:val="20"/>
          <w:color w:val="auto"/>
        </w:rPr>
      </w:pPr>
    </w:p>
    <w:p>
      <w:pPr>
        <w:ind w:left="1020" w:right="140" w:hanging="503"/>
        <w:spacing w:after="0" w:line="25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Zelicapavir - N-protein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studied zelicapavir in two Phase 2 studies that were designed to be proof-of-concept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exploratory studies in otherwise healthy young adults (not at high-risk for serious outcomes with RSV) to understand the viral response in the context of RSV infection. With these studies, zelicapavir has demonstrated a favorable safety profile, consistent with that observed in over 500 subjects exposed to zelicapavir to date. We believe that zelicapavir has the greatest potential to show optimal efficacy in high-risk populations since these patients have reduced RSV immunity, which manifests in a higher and longer duration of viral load and greater disease severity, allowing a bigger window to realize the full potential of zelicapavir. Based on its growing safety profile, we are continuing to evaluate zelicapavir in high-risk populations, including pediatric patients and high-risk adults, all of which have significant unmet need:</w:t>
      </w:r>
    </w:p>
    <w:p>
      <w:pPr>
        <w:spacing w:after="0" w:line="74" w:lineRule="exact"/>
        <w:rPr>
          <w:rFonts w:ascii="Times New Roman" w:cs="Times New Roman" w:eastAsia="Times New Roman" w:hAnsi="Times New Roman"/>
          <w:sz w:val="18"/>
          <w:szCs w:val="18"/>
          <w:color w:val="auto"/>
        </w:rPr>
      </w:pPr>
    </w:p>
    <w:p>
      <w:pPr>
        <w:ind w:left="1540" w:right="60" w:hanging="50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u w:val="single" w:color="auto"/>
          <w:color w:val="auto"/>
        </w:rPr>
        <w:t>Pediatric Study of Zelicapavir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On December 9, 2024, we announced positive topline results from the first-in-pediatrics Phase 2 study</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evaluating zelicapavir in hospitalized and non-hospitalized children aged 28 days to 36 months with RSV. This Phase 2 study was a randomized, double-blind, dose ranging, placebo-controlled study in hospitalized and non- hospitalized pediatric patients with RSV aged 28 days to 36 months.</w:t>
      </w:r>
    </w:p>
    <w:p>
      <w:pPr>
        <w:spacing w:after="0" w:line="73" w:lineRule="exact"/>
        <w:rPr>
          <w:rFonts w:ascii="Times New Roman" w:cs="Times New Roman" w:eastAsia="Times New Roman" w:hAnsi="Times New Roman"/>
          <w:sz w:val="18"/>
          <w:szCs w:val="18"/>
          <w:color w:val="auto"/>
        </w:rPr>
      </w:pPr>
    </w:p>
    <w:p>
      <w:pPr>
        <w:ind w:left="2040" w:right="440" w:hanging="505"/>
        <w:spacing w:after="0" w:line="282" w:lineRule="auto"/>
        <w:tabs>
          <w:tab w:leader="none" w:pos="20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Zelicapavir demonstrated a favorable safety profile over the initial 5-day dosing period and through 23 days of follow-up. There were no adverse effects leading to treatment discontinuation or study withdrawal.</w:t>
      </w:r>
    </w:p>
    <w:p>
      <w:pPr>
        <w:spacing w:after="0" w:line="53" w:lineRule="exact"/>
        <w:rPr>
          <w:rFonts w:ascii="Times New Roman" w:cs="Times New Roman" w:eastAsia="Times New Roman" w:hAnsi="Times New Roman"/>
          <w:sz w:val="18"/>
          <w:szCs w:val="18"/>
          <w:color w:val="auto"/>
        </w:rPr>
      </w:pPr>
    </w:p>
    <w:p>
      <w:pPr>
        <w:ind w:left="2040" w:right="40" w:hanging="505"/>
        <w:spacing w:after="0" w:line="266" w:lineRule="auto"/>
        <w:tabs>
          <w:tab w:leader="none" w:pos="20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Zelicapavir achieved target drug exposure levels across all age groups and dosing cohorts. Exposure was similar across cohorts and doses, and all patients received a therapeutic dose. A dose of 5 mg/kg was selected for patients aged ≥ 28 days to &lt;12 months, and a dose of 7.5 mg/kg was selected for patients aged ≥12 months to ≤ 36 months.</w:t>
      </w:r>
    </w:p>
    <w:p>
      <w:pPr>
        <w:spacing w:after="0" w:line="67" w:lineRule="exact"/>
        <w:rPr>
          <w:rFonts w:ascii="Times New Roman" w:cs="Times New Roman" w:eastAsia="Times New Roman" w:hAnsi="Times New Roman"/>
          <w:sz w:val="18"/>
          <w:szCs w:val="18"/>
          <w:color w:val="auto"/>
        </w:rPr>
      </w:pPr>
    </w:p>
    <w:p>
      <w:pPr>
        <w:ind w:left="2040" w:hanging="505"/>
        <w:spacing w:after="0" w:line="253" w:lineRule="auto"/>
        <w:tabs>
          <w:tab w:leader="none" w:pos="20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antiviral effect was observed for the primary and secondary virology endpoints in the overall pooled efficacy population, with the viral load decline peaking at 0.7 log on Day 9 compared to placebo. The primary endpoint for Part 2 of the study showed a more pronounced effect, with a viral load decline of 1.0 log at Day 3 and 1.4 log at Day 5 compared to placebo. Additionally, a rapid and robust antiviral effect was observed in the prespecified subset of patients who were randomized within 3 days of symptom onset, which represents about 40% of patients in the study (n=38/96). In these patients, a viral load decline of 0.9 log at Day 3 and 1.2 log at Day 5 was observed compared to placebo. Furthermore, zelicapavir treatment resulted in a greater proportion of patients having undetectable viral load at Days 5 and 9 compared to placebo and improvements in area under the curve (AUC) of change from baseline for viral load at all timepoints. Qualitative improvement in time to undetectable viral load was observed at early timepoints, although median time to undetectable viral load was similar between groups. Overall, virology results were similar regardless of age or whether patients were enrolled from a hospitalized or outpatient setting.</w:t>
      </w:r>
    </w:p>
    <w:p>
      <w:pPr>
        <w:spacing w:after="0" w:line="82" w:lineRule="exact"/>
        <w:rPr>
          <w:sz w:val="20"/>
          <w:szCs w:val="20"/>
          <w:color w:val="auto"/>
        </w:rPr>
      </w:pPr>
    </w:p>
    <w:p>
      <w:pPr>
        <w:ind w:left="1540" w:right="180" w:hanging="514"/>
        <w:spacing w:after="0" w:line="258"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High-Risk Adults Study of Zelicapavir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also have an ongoing Phase 2b study in high-risk adults, including those who are 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65 years of age and those who have asthma, chronic obstructive pulmonary disease, or COPD, or congestive heart failure. Approximately 180 patients will be treated with zelicapavir or placebo for five days with a primary endpoint of time to resolution of RSV lower respiratory tract disease symptoms. Enrollment is progressing and we are targeting enrollment completion in the current Northern Hemisphere RSV season with topline data expected in the third quarter of 2025.</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left="1020" w:right="80" w:hanging="503"/>
        <w:spacing w:after="0" w:line="257"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EDP-323 - L-protein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second clinical RSV candidate, EDP-323, is a novel oral, direct-acting antiviral selectively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targeting the RSV L-protein, a viral RNA-dependent RNA polymerase enzyme that contains multiple enzymatic activities required for RSV replication. EDP-323 has sub-nanomolar potency against RSV-A and RSV-B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protected mice in a dose-dependent manner from RSV infection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w:t>
      </w:r>
    </w:p>
    <w:p>
      <w:pPr>
        <w:spacing w:after="0" w:line="74" w:lineRule="exact"/>
        <w:rPr>
          <w:rFonts w:ascii="Times New Roman" w:cs="Times New Roman" w:eastAsia="Times New Roman" w:hAnsi="Times New Roman"/>
          <w:sz w:val="18"/>
          <w:szCs w:val="18"/>
          <w:color w:val="auto"/>
        </w:rPr>
      </w:pPr>
    </w:p>
    <w:p>
      <w:pPr>
        <w:ind w:left="1540" w:right="80" w:hanging="50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u w:val="single" w:color="auto"/>
          <w:color w:val="auto"/>
        </w:rPr>
        <w:t>Phase 2a Study of EDP-323</w:t>
      </w:r>
      <w:r>
        <w:rPr>
          <w:rFonts w:ascii="Times New Roman" w:cs="Times New Roman" w:eastAsia="Times New Roman" w:hAnsi="Times New Roman"/>
          <w:sz w:val="18"/>
          <w:szCs w:val="18"/>
          <w:color w:val="auto"/>
        </w:rPr>
        <w:t>: In September 2024, we announced positive topline results for EDP-323 in a Phase 2a challenge study of</w:t>
      </w:r>
      <w:r>
        <w:rPr>
          <w:rFonts w:ascii="Times New Roman" w:cs="Times New Roman" w:eastAsia="Times New Roman" w:hAnsi="Times New Roman"/>
          <w:sz w:val="18"/>
          <w:szCs w:val="18"/>
          <w:i w:val="1"/>
          <w:iCs w:val="1"/>
          <w:u w:val="single" w:color="auto"/>
          <w:color w:val="auto"/>
        </w:rPr>
        <w:t xml:space="preserve"> </w:t>
      </w:r>
      <w:r>
        <w:rPr>
          <w:rFonts w:ascii="Times New Roman" w:cs="Times New Roman" w:eastAsia="Times New Roman" w:hAnsi="Times New Roman"/>
          <w:sz w:val="18"/>
          <w:szCs w:val="18"/>
          <w:color w:val="auto"/>
        </w:rPr>
        <w:t>healthy adults infected with RSV. Treatment with EDP-323 achieved highly statistically significant (p=&lt;0.0001) reductions in both viral load and clinical symptoms compared to placebo. Overall, EDP-323 was generally well tolerated and demonstrated a favorable safety profile that was comparable to placebo over 5 days of dosing through Day 28 of follow-up. There were no serious adverse events and no discontinuations of EDP-323.</w:t>
      </w:r>
    </w:p>
    <w:p>
      <w:pPr>
        <w:spacing w:after="0" w:line="73"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We leveraged our expertise in developing protease inhibitors to discover compounds specifically designed to target the SARS-CoV-2 virus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potentially other coronaviruses. We selected EDP-235, an oral inhibitor of the coronavirus 3CL protease, also referred to as 3CLpro or the main coronavirus protease, or Mpro, for clinical development. In addition to nanomolar activity against all SARS-CoV-2 variants tested to date, EDP-235 has potent antiviral activity against other human coronaviruses, enabling the potential for a pan-coronavirus treatment, including possibly coronaviruses that may infect human populations in the future. Furthermore, EDP-235 has good tissue distribution, and is projected to have four times higher drug levels in lung tissue compared to plasma.</w:t>
      </w:r>
    </w:p>
    <w:p>
      <w:pPr>
        <w:spacing w:after="0" w:line="76" w:lineRule="exact"/>
        <w:rPr>
          <w:sz w:val="20"/>
          <w:szCs w:val="20"/>
          <w:color w:val="auto"/>
        </w:rPr>
      </w:pPr>
    </w:p>
    <w:p>
      <w:pPr>
        <w:ind w:left="1020" w:right="280" w:hanging="503"/>
        <w:spacing w:after="0" w:line="26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SPRINT Study of EDP-235: </w:t>
      </w:r>
      <w:r>
        <w:rPr>
          <w:rFonts w:ascii="Times New Roman" w:cs="Times New Roman" w:eastAsia="Times New Roman" w:hAnsi="Times New Roman"/>
          <w:sz w:val="18"/>
          <w:szCs w:val="18"/>
          <w:color w:val="auto"/>
        </w:rPr>
        <w:t>In May 2023, we reported topline results from a Phase 2 clinical trial of EDP-235 in non-hospitalized,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symptomatic patients with mild to moderate COVID-19 who were not at increased risk for developing severe disease, which was the only study population permitted by the FDA. EDP-235 met the primary endpoint of the trial and was generally safe and well-tolerated.</w:t>
      </w:r>
    </w:p>
    <w:p>
      <w:pPr>
        <w:spacing w:after="0" w:line="67" w:lineRule="exact"/>
        <w:rPr>
          <w:rFonts w:ascii="Times New Roman" w:cs="Times New Roman" w:eastAsia="Times New Roman" w:hAnsi="Times New Roman"/>
          <w:sz w:val="18"/>
          <w:szCs w:val="18"/>
          <w:color w:val="auto"/>
        </w:rPr>
      </w:pPr>
    </w:p>
    <w:p>
      <w:pPr>
        <w:jc w:val="right"/>
        <w:ind w:left="1540" w:right="100" w:hanging="509"/>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dose-dependent improvement in total symptom score was observed with EDP-235 treatment compared to placebo, which achieved statistical significance (p&lt;0.05) in the 400 mg treatment group at multiple time points, starting as early as one day after the first dose.</w:t>
      </w:r>
    </w:p>
    <w:p>
      <w:pPr>
        <w:spacing w:after="0" w:line="31" w:lineRule="exact"/>
        <w:rPr>
          <w:rFonts w:ascii="Times New Roman" w:cs="Times New Roman" w:eastAsia="Times New Roman" w:hAnsi="Times New Roman"/>
          <w:sz w:val="18"/>
          <w:szCs w:val="18"/>
          <w:color w:val="auto"/>
        </w:rPr>
      </w:pPr>
    </w:p>
    <w:p>
      <w:pPr>
        <w:ind w:left="1540" w:right="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oAn analysis of a subset of six symptoms showed a two-day shorter time (5 days to 3 days) to improvement in patients receiving EDP-235 400 mg who were enrolled within three days of symptom onset (p&lt;0.01).</w:t>
      </w:r>
    </w:p>
    <w:p>
      <w:pPr>
        <w:spacing w:after="0" w:line="53" w:lineRule="exact"/>
        <w:rPr>
          <w:rFonts w:ascii="Times New Roman" w:cs="Times New Roman" w:eastAsia="Times New Roman" w:hAnsi="Times New Roman"/>
          <w:sz w:val="18"/>
          <w:szCs w:val="18"/>
          <w:color w:val="auto"/>
        </w:rPr>
      </w:pPr>
    </w:p>
    <w:p>
      <w:pPr>
        <w:ind w:left="1540" w:right="14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oNo effect on virologic endpoints as measured in the nose was detected due to the rapid viral decline in the placebo arm of this highly immunologically-experienced, standard risk population.</w:t>
      </w:r>
    </w:p>
    <w:p>
      <w:pPr>
        <w:spacing w:after="0" w:line="53" w:lineRule="exact"/>
        <w:rPr>
          <w:rFonts w:ascii="Times New Roman" w:cs="Times New Roman" w:eastAsia="Times New Roman" w:hAnsi="Times New Roman"/>
          <w:sz w:val="18"/>
          <w:szCs w:val="18"/>
          <w:color w:val="auto"/>
        </w:rPr>
      </w:pPr>
    </w:p>
    <w:p>
      <w:pPr>
        <w:ind w:left="1540" w:hanging="50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oIn the subset of patients who were nucleocapsid seronegative (indicating no recent natural infection with SARS-CoV-2), a viral load decline was observed at day five in the 400 mg group of 0.8 log overall and 1 log in the patients with symptom onset within three days before treatment with EDP-235.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focus on potential collaborations to progress EDP-235, as we will not advance this candidate into Phase 3 studies on our own.</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Immunology</w:t>
      </w:r>
      <w:r>
        <w:rPr>
          <w:rFonts w:ascii="Times New Roman" w:cs="Times New Roman" w:eastAsia="Times New Roman" w:hAnsi="Times New Roman"/>
          <w:sz w:val="18"/>
          <w:szCs w:val="18"/>
          <w:color w:val="auto"/>
        </w:rPr>
        <w:t>. We are designing and developing highly potent and selective, oral, small molecule inhibitors targeting the following mechanisms of immune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response:</w:t>
      </w:r>
    </w:p>
    <w:p>
      <w:pPr>
        <w:spacing w:after="0" w:line="51" w:lineRule="exact"/>
        <w:rPr>
          <w:sz w:val="20"/>
          <w:szCs w:val="20"/>
          <w:color w:val="auto"/>
        </w:rPr>
      </w:pPr>
    </w:p>
    <w:p>
      <w:pPr>
        <w:ind w:left="1020" w:right="20" w:hanging="503"/>
        <w:spacing w:after="0" w:line="25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KIT Inhibitors</w:t>
      </w:r>
      <w:r>
        <w:rPr>
          <w:rFonts w:ascii="Times New Roman" w:cs="Times New Roman" w:eastAsia="Times New Roman" w:hAnsi="Times New Roman"/>
          <w:sz w:val="18"/>
          <w:szCs w:val="18"/>
          <w:color w:val="auto"/>
        </w:rPr>
        <w:t xml:space="preserve">. We have a preclinical stage program to develop oral KIT inhibitors to treat CSU and potentially other indications by depleting mast cells, thereby addressing a primary driver of these diseases. We have discovered novel, potent and selective oral KIT inhibitors, which are in preclinical development. In the fourth quarter of 2024, we selected our lead development candidate, EPS-1421. This candidate demonstrates potent nanomolar activity in both binding and cellular function assays, with sub-nanomolar activity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is highly selective for KIT versus other kinases. This inhibitor also demonstrates strong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absorption, distribution, metabolism and excretion (ADME) properties. We expect to conduct scale-up activities and IND-enabling studies for this program in 2025.</w:t>
      </w:r>
    </w:p>
    <w:p>
      <w:pPr>
        <w:spacing w:after="0" w:line="79" w:lineRule="exact"/>
        <w:rPr>
          <w:rFonts w:ascii="Times New Roman" w:cs="Times New Roman" w:eastAsia="Times New Roman" w:hAnsi="Times New Roman"/>
          <w:sz w:val="18"/>
          <w:szCs w:val="18"/>
          <w:color w:val="auto"/>
        </w:rPr>
      </w:pPr>
    </w:p>
    <w:p>
      <w:pPr>
        <w:jc w:val="both"/>
        <w:ind w:left="1020" w:right="60" w:hanging="503"/>
        <w:spacing w:after="0" w:line="272"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STAT6 Inhibitors</w:t>
      </w:r>
      <w:r>
        <w:rPr>
          <w:rFonts w:ascii="Times New Roman" w:cs="Times New Roman" w:eastAsia="Times New Roman" w:hAnsi="Times New Roman"/>
          <w:sz w:val="17"/>
          <w:szCs w:val="17"/>
          <w:color w:val="auto"/>
        </w:rPr>
        <w:t>. We have a discovery stage program to develop oral STAT6 inhibitors for the treatment of type 2 immune driven diseases, initially focusing on AD and potentially other indications by blocking the IL-4/IL-13 signaling pathway, thereby addressing a primary driver of these diseases. We have discovered novel, potent and selective oral STAT6 inhibitors, which are being optimized in the discovery stage.</w:t>
      </w:r>
    </w:p>
    <w:p>
      <w:pPr>
        <w:spacing w:after="0" w:line="1" w:lineRule="exact"/>
        <w:rPr>
          <w:rFonts w:ascii="Times New Roman" w:cs="Times New Roman" w:eastAsia="Times New Roman" w:hAnsi="Times New Roman"/>
          <w:sz w:val="17"/>
          <w:szCs w:val="17"/>
          <w:color w:val="auto"/>
        </w:rPr>
      </w:pPr>
    </w:p>
    <w:p>
      <w:pPr>
        <w:ind w:left="1020"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Our prototype inhibitors demonstrate potent activity and high selectivity for STAT6 over other STATs in both biochemical and cellular assays, including SH2 domain selectivity against non-STAT proteins, and also demonstrate systemic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target engagement after ex vivo IL-4 stimulation. We are continuing to evaluate multiple compounds in preclinical studies, including toxicology studies, and conducting lead optimization activities. Our goal is to select a lead development candidate in the second half of 2025.</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18" w:name="page19"/>
    <w:bookmarkEnd w:id="18"/>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expand our presence in immunology with the introduction of a third program in 2025.</w:t>
      </w:r>
    </w:p>
    <w:p>
      <w:pPr>
        <w:spacing w:after="0" w:line="11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 We continue to invest substantial resources in research programs to discover compounds targeting new disease areas.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product development pipeline in our virology and immunology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172200" cy="24860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7220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0" w:right="1640"/>
        <w:spacing w:after="0" w:line="249" w:lineRule="auto"/>
        <w:rPr>
          <w:sz w:val="20"/>
          <w:szCs w:val="20"/>
          <w:color w:val="auto"/>
        </w:rPr>
      </w:pPr>
      <w:r>
        <w:rPr>
          <w:rFonts w:ascii="Times New Roman" w:cs="Times New Roman" w:eastAsia="Times New Roman" w:hAnsi="Times New Roman"/>
          <w:sz w:val="13"/>
          <w:szCs w:val="13"/>
          <w:color w:val="auto"/>
        </w:rPr>
        <w:t>*Fixed-dose antiviral combination contains glecaprevir and AbbVie's NS5A inhibitor, pibrentasvir. Marketed by AbbVie as MAVYRET® (U.S.) and MAVIRET® (ex-U.S.). **Continued development dependent on a future collaboration</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***Initial indications. Potential future indications include asthma, chronic inducible urticaria (CIndU), eosinophilic esophagitis (EoE), prurigo nodularis (PN) and others.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Royalty Revenue Collaboration and Royalty Sale Agreement</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6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Glecaprevir is the HCV protease inhibitor we discovered that was developed by AbbVie in a fixed-dose combination with its NS5A inhibitor, pibrentasvir, for the treatment of chronic HCV. This patented combination, currently marketed under the brand 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is referred to in this report as MAVYRET/MAVIRET.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w:t>
      </w:r>
    </w:p>
    <w:p>
      <w:pPr>
        <w:spacing w:after="0" w:line="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a Canadian public employee pension fund, pursuant to which we were paid a $200.0 million cash purchase price in exchange for 54.5% of our future quarterly royalty payments on net sales of MAVYRET/MAVIRET, after June 30, 2023, through June 30, 2032, subject to a cap on aggregate payments to OMERS equal to 1.42 times the purchase price.</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accounting purposes, we continue to record 100% of HCV royalties earned under the AbbVie agreement as royalty revenue in our condensed consolidated statements of operations. The $200.0 million received in April 2023 was recognized on our condensed consolidated balance sheets as a liability, which will be reduced by the payments made to OMERS over the term of the Agreement. We recognize imputed interest expense over the life of the royalty sale agreement based on our estimated future MAVYRET/MAVIRET royalties.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currently funding all research and development for our wholly-owned programs, which are targeted toward the discovery and development of novel compounds. As of the date of this report, we are conducting a Phase 2b study of zelicapavir in high risk adults and have recently completed a Phase 2b study of zelicapavir in pediatric patients and a Phase 2a human challenge study of EDP-323. We are also conducting preclinical research and discovery efforts in the field of immunology.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9" w:name="page20"/>
    <w:bookmarkEnd w:id="19"/>
    <w:p>
      <w:pPr>
        <w:ind w:right="20"/>
        <w:spacing w:after="0" w:line="261" w:lineRule="auto"/>
        <w:rPr>
          <w:sz w:val="20"/>
          <w:szCs w:val="20"/>
          <w:color w:val="auto"/>
        </w:rPr>
      </w:pPr>
      <w:r>
        <w:rPr>
          <w:rFonts w:ascii="Times New Roman" w:cs="Times New Roman" w:eastAsia="Times New Roman" w:hAnsi="Times New Roman"/>
          <w:sz w:val="18"/>
          <w:szCs w:val="18"/>
          <w:color w:val="auto"/>
        </w:rPr>
        <w:t>As a result of the timing of our clinical and preclinical development programs, we expect our research and development expenses will fluctuate from period to period. However, in the next 12 months, we anticipate a reduction in our external research and development expenses, primarily driven by the completion of the Phase 2a human challenge study of EDP-323 and the Phase 2b study of zelicapavir in pediatric patients. These milestones, along with strategic adjustments, have positioned us to reduce spending in 2025 while maintaining our commitment to advancing key programs.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date, we have funded our operations primarily through royalty payments received under our collaboration agreement with AbbVie, a $200.0 million payment received in April 2023 from our royalty sale agreement, and our existing cash, cash equivalents, and short-term marketable securities. We believe that our existing cash, cash equivalents and short-term marketable securities, as well as the cash flows from our retained portion of future HCV royalties and our forthcoming federal tax refund, will enable us to fund our operating expenses and capital expenditure requirements into fiscal 2028.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revenue is primarily derived from our collaboration agreement with AbbVie and AbbVie’s sales of MAVYRET/MAVIRET, an 8-week treatment regimen for chronic HCV.</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revenue recognized for the three months ended December 31,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72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6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6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Royalty revenue</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2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8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AbbVie Agreement</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To date, we have received annually tiered, double-digit royalties on our protease inhibitor product glecaprevir included in AbbVie’s net sales of MAVYRET/MAVIRET. Under the terms of our AbbVie Agreement, 50% of AbbVie’s net sales of MAVYRET/MAVIRET are allocated to glecaprevir. Beginning with each January 1, the cumulative net sales of MAVYRET/MAVIRET start at zero for purposes of calculating the tiered royalties. As disclosed above regarding the OMERS royalty sale agreement, we only retain 45.5% of the cash payments from royalties on net sales of MAVYRET/MAVIRET occurring after June 30, 2023 through June 30, 2032, subject to a cap on aggregate payments to OMERS equal to 1.42 times OMERS’ purchase price.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Programs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our internal product candidates are currently in Phase 1 or Phase 2 clinical development, we have not generated any revenue from our own product sales. We do not expect to generate any revenue from product sales derived from these product candidates for at least the next several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are comprised of research and development expenses and general and administrative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preclinical study, and clinical trial activities;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related benefits, and stock-based compensation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 fees.</w:t>
      </w:r>
    </w:p>
    <w:p>
      <w:pPr>
        <w:spacing w:after="0" w:line="11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At any given time, we have later stage programs in clinical development as well as several active early-stage research and drug discovery projects. Our internal resources, employees and infrastructure are utilized across multiple projects, including our early-stage discovery projects. As such, we report information regarding costs incurred based on our programs (i.e., disease area) rather than on a project specific basis. All indirect costs are allocated to programs based on headcount and square footage of our facilities. We expect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40"/>
        <w:spacing w:after="0" w:line="258" w:lineRule="auto"/>
        <w:rPr>
          <w:sz w:val="20"/>
          <w:szCs w:val="20"/>
          <w:color w:val="auto"/>
        </w:rPr>
      </w:pPr>
      <w:r>
        <w:rPr>
          <w:rFonts w:ascii="Times New Roman" w:cs="Times New Roman" w:eastAsia="Times New Roman" w:hAnsi="Times New Roman"/>
          <w:sz w:val="18"/>
          <w:szCs w:val="18"/>
          <w:color w:val="auto"/>
        </w:rPr>
        <w:t>that our research and development expenses will fluctuate from period to period as we advance our research and development programs. However, in the next 12 months, we anticipate a reduction in our external research and development expenses, primarily driven by the completion of the Phase 2a human challenge study of EDP-323 and the Phase 2b study of zelicapavir in pediatric patients. These milestones, along with strategic adjustments, have positioned us to reduce spending in 2025 while maintaining our commitment to advancing key programs. To date, we have not identified any significant impact of inflation on spending in research and development, but it is uncertain whether there will be inflationary impacts in future periods.</w:t>
      </w:r>
    </w:p>
    <w:p>
      <w:pPr>
        <w:spacing w:after="0" w:line="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research and drug discovery and development programs are in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professional fees for auditing, tax, and legal services, patent expenses and litigation expenses associated with prosecuting our patent infringement suit.</w:t>
      </w:r>
    </w:p>
    <w:p>
      <w:pPr>
        <w:spacing w:after="0" w:line="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expect that general and administrative expenses may increase in the long term. To date we have not experienced a significant impact of inflation on general and administrative expenses, but we anticipate inflation may impact future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Other income (expense) consists of interest expense, interest and investment income, net and the change in fair value of our outstanding Series 1 nonconvertible preferred stock. Interest expense consists of the interest expense and amortization of debt issuance costs associated with the royalty sale agreement with an affiliate of OMERS. Interest income consists of interest earned on our cash equivalents and marketable securities balances. Investment income consists of the amortization or accretion of any purchased premium or discount, respectively, on our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Income tax benefit (expense) is based on our best estimate of taxable net income (loss), applicable income tax rates, net research and development tax credits and carryforwards, net operating loss carrybacks and interest earned on such refunds, changes in valuation allowance estimates and deferred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December 31, 2024 and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318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28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2"/>
          </w:tcPr>
          <w:p>
            <w:pPr>
              <w:jc w:val="center"/>
              <w:ind w:right="73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center"/>
              <w:ind w:right="9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27,656</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36,371</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8"/>
                <w:szCs w:val="18"/>
                <w:color w:val="auto"/>
              </w:rPr>
            </w:pPr>
          </w:p>
        </w:tc>
        <w:tc>
          <w:tcPr>
            <w:tcW w:w="9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(1,962 )</w:t>
            </w:r>
          </w:p>
        </w:tc>
        <w:tc>
          <w:tcPr>
            <w:tcW w:w="1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(3,441 )</w:t>
            </w:r>
          </w:p>
        </w:tc>
      </w:tr>
      <w:tr>
        <w:trPr>
          <w:trHeight w:val="21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8"/>
                <w:szCs w:val="18"/>
                <w:color w:val="auto"/>
              </w:rPr>
            </w:pPr>
          </w:p>
        </w:tc>
      </w:tr>
      <w:tr>
        <w:trPr>
          <w:trHeight w:val="230"/>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(22,290 )</w:t>
            </w:r>
          </w:p>
        </w:tc>
        <w:tc>
          <w:tcPr>
            <w:tcW w:w="1160" w:type="dxa"/>
            <w:vAlign w:val="bottom"/>
            <w:shd w:val="clear" w:color="auto" w:fill="CFF0FC"/>
          </w:tcPr>
          <w:p>
            <w:pPr>
              <w:jc w:val="center"/>
              <w:ind w:right="9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(33,407 )</w:t>
            </w:r>
          </w:p>
        </w:tc>
      </w:tr>
      <w:tr>
        <w:trPr>
          <w:trHeight w:val="20"/>
        </w:trPr>
        <w:tc>
          <w:tcPr>
            <w:tcW w:w="72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recognized revenue of $17.0 million during the three months ended December 31, 2024 as compared to $18.0 million during the three months ended December 31, 2023. The $1.0 million decrease in revenue was primarily due to AbbVie’s lower reported HCV sales as compared to the comparable period in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royalty revenues eligible to be earned in the future will depend on AbbVie’s HCV market share, the pricing of the MAVYRET/MAVIRET regimen and the number of patients treated. In addition, at the beginning of each calendar year (the second quarter of our fiscal year), our royalty rate resets to the lowest tier for each of our royalty-bearing products licensed to AbbVie.</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Beginning with the quarter ended September 30, 2023, 54.5% of our quarterly royalty payments on net sales of MAVYRET/MAVIRET that are included in our total revenue are paid to OMERS through June 30, 2032, subject to a cap on aggregate payments equal to 1.42 times the purchase price. The $200.0 million received in April 2023 was recognized on our condensed consolidated balance sheets as a liability which will be reduced by the payments made to OMERS over the term of the royalty sale agreement. We will continue to record 100% of HCV royalties earned under the AbbVie Agreement as royalty revenue in our condensed consolidated statements of operations since the AbbVie Agreement has not been amended and is independent of our agreement with OMERS.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320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280" w:type="dxa"/>
            <w:vAlign w:val="bottom"/>
          </w:tcPr>
          <w:p>
            <w:pPr>
              <w:spacing w:after="0"/>
              <w:rPr>
                <w:sz w:val="12"/>
                <w:szCs w:val="12"/>
                <w:color w:val="auto"/>
              </w:rPr>
            </w:pPr>
          </w:p>
        </w:tc>
        <w:tc>
          <w:tcPr>
            <w:tcW w:w="116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00" w:type="dxa"/>
            <w:vAlign w:val="bottom"/>
            <w:gridSpan w:val="2"/>
          </w:tcPr>
          <w:p>
            <w:pPr>
              <w:jc w:val="center"/>
              <w:ind w:right="759"/>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R&amp;D programs:</w:t>
            </w:r>
          </w:p>
        </w:tc>
        <w:tc>
          <w:tcPr>
            <w:tcW w:w="1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Virology</w:t>
            </w: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RSV</w:t>
            </w:r>
          </w:p>
        </w:tc>
        <w:tc>
          <w:tcPr>
            <w:tcW w:w="1160" w:type="dxa"/>
            <w:vAlign w:val="bottom"/>
            <w:shd w:val="clear" w:color="auto" w:fill="CFF0FC"/>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18,415</w:t>
            </w:r>
          </w:p>
        </w:tc>
        <w:tc>
          <w:tcPr>
            <w:tcW w:w="1400" w:type="dxa"/>
            <w:vAlign w:val="bottom"/>
            <w:gridSpan w:val="2"/>
            <w:shd w:val="clear" w:color="auto" w:fill="CFF0FC"/>
          </w:tcPr>
          <w:p>
            <w:pPr>
              <w:jc w:val="center"/>
              <w:ind w:right="7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24,294</w:t>
            </w: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COVID-19</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00" w:type="dxa"/>
            <w:vAlign w:val="bottom"/>
          </w:tcPr>
          <w:p>
            <w:pPr>
              <w:spacing w:after="0"/>
              <w:rPr>
                <w:sz w:val="18"/>
                <w:szCs w:val="18"/>
                <w:color w:val="auto"/>
              </w:rPr>
            </w:pPr>
          </w:p>
        </w:tc>
      </w:tr>
      <w:tr>
        <w:trPr>
          <w:trHeight w:val="216"/>
        </w:trPr>
        <w:tc>
          <w:tcPr>
            <w:tcW w:w="72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HBV</w:t>
            </w:r>
          </w:p>
        </w:tc>
        <w:tc>
          <w:tcPr>
            <w:tcW w:w="1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Total Virology</w:t>
            </w:r>
          </w:p>
        </w:tc>
        <w:tc>
          <w:tcPr>
            <w:tcW w:w="11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18,595</w:t>
            </w:r>
          </w:p>
        </w:tc>
        <w:tc>
          <w:tcPr>
            <w:tcW w:w="1400" w:type="dxa"/>
            <w:vAlign w:val="bottom"/>
            <w:gridSpan w:val="2"/>
          </w:tcPr>
          <w:p>
            <w:pPr>
              <w:jc w:val="center"/>
              <w:ind w:right="7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27,611</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Immunology</w:t>
            </w:r>
          </w:p>
        </w:tc>
        <w:tc>
          <w:tcPr>
            <w:tcW w:w="1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KIT</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tcPr>
          <w:p>
            <w:pPr>
              <w:spacing w:after="0"/>
              <w:rPr>
                <w:sz w:val="18"/>
                <w:szCs w:val="18"/>
                <w:color w:val="auto"/>
              </w:rPr>
            </w:pPr>
          </w:p>
        </w:tc>
      </w:tr>
      <w:tr>
        <w:trPr>
          <w:trHeight w:val="216"/>
        </w:trPr>
        <w:tc>
          <w:tcPr>
            <w:tcW w:w="72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STAT6</w:t>
            </w:r>
          </w:p>
        </w:tc>
        <w:tc>
          <w:tcPr>
            <w:tcW w:w="1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Total Immunology</w:t>
            </w:r>
          </w:p>
        </w:tc>
        <w:tc>
          <w:tcPr>
            <w:tcW w:w="11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400" w:type="dxa"/>
            <w:vAlign w:val="bottom"/>
            <w:gridSpan w:val="2"/>
          </w:tcPr>
          <w:p>
            <w:pPr>
              <w:jc w:val="center"/>
              <w:ind w:right="7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tcPr>
          <w:p>
            <w:pPr>
              <w:spacing w:after="0"/>
              <w:rPr>
                <w:sz w:val="18"/>
                <w:szCs w:val="18"/>
                <w:color w:val="auto"/>
              </w:rPr>
            </w:pPr>
          </w:p>
        </w:tc>
      </w:tr>
      <w:tr>
        <w:trPr>
          <w:trHeight w:val="216"/>
        </w:trPr>
        <w:tc>
          <w:tcPr>
            <w:tcW w:w="7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Programs</w:t>
            </w:r>
          </w:p>
        </w:tc>
        <w:tc>
          <w:tcPr>
            <w:tcW w:w="1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Early discovery</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tcPr>
          <w:p>
            <w:pPr>
              <w:spacing w:after="0"/>
              <w:rPr>
                <w:sz w:val="18"/>
                <w:szCs w:val="18"/>
                <w:color w:val="auto"/>
              </w:rPr>
            </w:pPr>
          </w:p>
        </w:tc>
      </w:tr>
      <w:tr>
        <w:trPr>
          <w:trHeight w:val="216"/>
        </w:trPr>
        <w:tc>
          <w:tcPr>
            <w:tcW w:w="72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programs for out-licensing</w:t>
            </w:r>
          </w:p>
        </w:tc>
        <w:tc>
          <w:tcPr>
            <w:tcW w:w="1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30"/>
        </w:trPr>
        <w:tc>
          <w:tcPr>
            <w:tcW w:w="72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Total Other Programs</w:t>
            </w:r>
          </w:p>
        </w:tc>
        <w:tc>
          <w:tcPr>
            <w:tcW w:w="11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400" w:type="dxa"/>
            <w:vAlign w:val="bottom"/>
            <w:gridSpan w:val="2"/>
          </w:tcPr>
          <w:p>
            <w:pPr>
              <w:jc w:val="center"/>
              <w:ind w:right="7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tcPr>
          <w:p>
            <w:pPr>
              <w:spacing w:after="0"/>
              <w:rPr>
                <w:sz w:val="19"/>
                <w:szCs w:val="19"/>
                <w:color w:val="auto"/>
              </w:rPr>
            </w:pPr>
          </w:p>
        </w:tc>
      </w:tr>
      <w:tr>
        <w:trPr>
          <w:trHeight w:val="196"/>
        </w:trPr>
        <w:tc>
          <w:tcPr>
            <w:tcW w:w="72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9"/>
        </w:trPr>
        <w:tc>
          <w:tcPr>
            <w:tcW w:w="7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60" w:type="dxa"/>
            <w:vAlign w:val="bottom"/>
            <w:tcBorders>
              <w:bottom w:val="single" w:sz="8" w:color="auto"/>
            </w:tcBorders>
            <w:shd w:val="clear" w:color="auto" w:fill="CFF0FC"/>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27,656</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center"/>
              <w:ind w:right="9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-1568450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-1010920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-453390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500"/>
        <w:spacing w:after="0" w:line="375" w:lineRule="auto"/>
        <w:rPr>
          <w:sz w:val="20"/>
          <w:szCs w:val="20"/>
          <w:color w:val="auto"/>
        </w:rPr>
      </w:pPr>
      <w:r>
        <w:rPr>
          <w:rFonts w:ascii="Times New Roman" w:cs="Times New Roman" w:eastAsia="Times New Roman" w:hAnsi="Times New Roman"/>
          <w:sz w:val="18"/>
          <w:szCs w:val="18"/>
          <w:color w:val="auto"/>
        </w:rPr>
        <w:t xml:space="preserve">Research and development expenses for the three months ended December 31, 2024 decreased by $8.7 million compared to the same period in 2023. </w:t>
      </w:r>
      <w:r>
        <w:rPr>
          <w:rFonts w:ascii="Times New Roman" w:cs="Times New Roman" w:eastAsia="Times New Roman" w:hAnsi="Times New Roman"/>
          <w:sz w:val="18"/>
          <w:szCs w:val="18"/>
          <w:i w:val="1"/>
          <w:iCs w:val="1"/>
          <w:color w:val="auto"/>
        </w:rPr>
        <w:t>Virology</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costs in our virology program decreased $9.0 million primarily due to timing of our clinical trials in our RSV program and to a lesser extent, a decrease in costs associated with our COVID-19 program as we stopped further internal development and will only progress the program in the context of one or more collaborations.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Immunology</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costs in our immunology programs increased by $2.5 million primarily due to the scale-up and IND-enabling activities related to our KIT program and the initiation of preclinical studies for our STAT6 program.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program costs decreased by $2.2 million primarily due to the completion of the discovery and optimization activities related to our STAT6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$3.7 million for the three months ended December 31, 2024 compared to the same period in 2023. The change was primarily due to a decrease in legal expenses related to our patent infringement suit against Pfizer.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components of other income (expense) were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expense decreased $1.5 million for the three months ended December 31, 2024, as compared to the same period in 2023 due to the paydown of our obligation associated with our royalty sale agreement entered into during April 2023 with an affiliate of OMERS.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investment income, net</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Interest and investment income, net, decreased $1.5 million for the three months ended December 31, 2024, as compared to the same period in 2023. The decrease was due to lower cash and investment balances year over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and 2023, we recorded an income tax benefit of $0.4 million and $0.6 million, respectively, primarily related to interest recorded on a pending federal tax refund.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fund our operations with cash flows from our retained portion of our royalty revenue and our existing financial resources. At December 31, 2024, our principal sources of liquidity were cash and cash equivalents and short-term marketable securities of $216.7 million.</w:t>
      </w:r>
    </w:p>
    <w:p>
      <w:pPr>
        <w:sectPr>
          <w:pgSz w:w="11900" w:h="16838" w:orient="portrait"/>
          <w:cols w:equalWidth="0" w:num="1">
            <w:col w:w="11200"/>
          </w:cols>
          <w:pgMar w:left="320" w:top="1197" w:right="37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184"/>
        </w:trPr>
        <w:tc>
          <w:tcPr>
            <w:tcW w:w="400" w:type="dxa"/>
            <w:vAlign w:val="bottom"/>
          </w:tcPr>
          <w:p>
            <w:pPr>
              <w:spacing w:after="0"/>
              <w:rPr>
                <w:sz w:val="15"/>
                <w:szCs w:val="15"/>
                <w:color w:val="auto"/>
              </w:rPr>
            </w:pP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72"/>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(16,801 )</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(24,988 )</w:t>
            </w:r>
          </w:p>
        </w:tc>
      </w:tr>
      <w:tr>
        <w:trPr>
          <w:trHeight w:val="216"/>
        </w:trPr>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(13,117 )</w:t>
            </w:r>
          </w:p>
        </w:tc>
      </w:tr>
      <w:tr>
        <w:trPr>
          <w:trHeight w:val="234"/>
        </w:trPr>
        <w:tc>
          <w:tcPr>
            <w:tcW w:w="400" w:type="dxa"/>
            <w:vAlign w:val="bottom"/>
          </w:tcPr>
          <w:p>
            <w:pPr>
              <w:spacing w:after="0"/>
              <w:rPr>
                <w:sz w:val="20"/>
                <w:szCs w:val="20"/>
                <w:color w:val="auto"/>
              </w:rPr>
            </w:pPr>
          </w:p>
        </w:tc>
        <w:tc>
          <w:tcPr>
            <w:tcW w:w="15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(4,986 )</w:t>
            </w:r>
          </w:p>
        </w:tc>
        <w:tc>
          <w:tcPr>
            <w:tcW w:w="4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(7,350 )</w:t>
            </w:r>
          </w:p>
        </w:tc>
      </w:tr>
      <w:tr>
        <w:trPr>
          <w:trHeight w:val="209"/>
        </w:trPr>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47,116</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(45,455</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29" w:lineRule="exact"/>
        <w:rPr>
          <w:sz w:val="20"/>
          <w:szCs w:val="20"/>
          <w:color w:val="auto"/>
        </w:rPr>
      </w:pPr>
    </w:p>
    <w:p>
      <w:pPr>
        <w:sectPr>
          <w:pgSz w:w="11900" w:h="16838" w:orient="portrait"/>
          <w:cols w:equalWidth="0" w:num="2">
            <w:col w:w="6820" w:space="720"/>
            <w:col w:w="3660"/>
          </w:cols>
          <w:pgMar w:left="320" w:top="1197"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Cash used in operating activities was $16.8 million for the three months ended December 31, 2024 as compared to cash used in operating activities of</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$25.0 million for the same period in 2023. Our cash used in operating activities decreased $8.2 million primarily due to lower research and development payments, offset by lower cash receipts associated with our AbbVie agreement.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was $68.9 million for the three months ended December 31, 2024 as compared to cash used in investing activities of $13.1 million for the same period in 2023. Our cash provided by investing activities increased $82.0 million, driven by the timing of maturities of marketable securities in 2024 compared to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$5.0 million for the three months ended December 31, 2024 as compared to cash used in financing activities of $7.4 million for the same period in 2023. Our cash used in financing activities decreased $2.4 million, driven primarily by lower payments on our royalty sale agreement with 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December 31, 2024, we had $216.7 million in cash, cash equivalents and short-term marketable securities. We believe that our existing cash, cash equivalents and short-term marketable securities as of December 31, 2024, as well as the cash flows from our retained portion of future HCV royalties and our forthcoming federal tax refund, will enable us to fund our operating expenses and capital expenditure requirements into fiscal 2028. However, our projection of the period of time through which our financial resources will be adequate to support our operations is a forward-looking statement that involves risks and uncertainties, and actual results could vary materially.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retained portion of royalties generated from MAVYRET/MAVIRET sales under our existing collaboration with AbbVie;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additional expenses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in-license or otherwise acquire new technologies and therapeutic candidates;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our patent infringement suit regarding use of a coronavirus 3CL protease inhibitor in Paxlovid, Pfizer's antiviral treatment for COVID-19;</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sales of our product candidates, if any, or royalties thereon;</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any litigation costs and the outcomes of any such litigation;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we lease space in Watertown, Massachusetts, under two separate lease agreements with one landlord.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4" w:name="page25"/>
    <w:bookmarkEnd w:id="24"/>
    <w:p>
      <w:pPr>
        <w:spacing w:after="0" w:line="256" w:lineRule="auto"/>
        <w:rPr>
          <w:sz w:val="20"/>
          <w:szCs w:val="20"/>
          <w:color w:val="auto"/>
        </w:rPr>
      </w:pPr>
      <w:r>
        <w:rPr>
          <w:rFonts w:ascii="Times New Roman" w:cs="Times New Roman" w:eastAsia="Times New Roman" w:hAnsi="Times New Roman"/>
          <w:sz w:val="18"/>
          <w:szCs w:val="18"/>
          <w:color w:val="auto"/>
        </w:rPr>
        <w:t>In May 2022, we entered into a ten-year lease for new laboratory and office space in Watertown, Massachusetts, adjacent to our 400 Talcott Avenue premises at Arsenal on the Charles at 4 Kingsbury Avenue since our lease for office and laboratory space at 500 Arsenal Street was to expire on September 1, 2027. The construction of the facility shell was completed and we gained access to the building to construct tenant improvements during the three months ended March 31, 2024. Upon gaining access to the 4 Kingsbury Avenue building, we capitalized a right-of-use asset and lease liability of approximately $32 million on our consolidated balance sheets which reflects our fixed base rent payments, net of approximately $15 million of a tenant improvement allowance provided by the landlord, over the 10-year term of the lease. The 4 Kingsbury Avenue lease ends on September 30, 2034.</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conjunction with the commencement of our lease at 4 Kingsbury Avenue, during the three months ended March 31, 2024, we adjusted our 500 Arsenal Street lease liability to shorten the expiration date from September 2027 to the date the 4 Kingsbury Avenue building became ready for our occupancy. This resulted in a decrease in the lease liability and right-of-use asset on our consolidated balance sheets by approximately $9.0 million. The rent commencement date for our 4 Kingsbury Avenue lease was September 12, 2024, and we moved into the space in November 2024, at which time our lease at 500 Arsenal Street expired.</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second lease for office space located at 400 Talcott Avenue commenced on September 24, 2018 for a term of six years. In May 2022, we amended this lease to expand the rented space and extend the lease term through June 1, 2034. We spent approximately $6.3 million in capital expenditures for the additional space, which primarily relate to tenant improvements. We received a tenant improvement allowance from the landlord of $2.5 million. In July 2024, we amended our lease agreement to confirm alignment with the lease end date of our 4 Kingsbury Avenue lease at September 30, 2034.</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Total estimated minimum lease payments for the next 5 years and thereafter under our existing facility and leased equipment agreements are $6.7 million for the remainder of 2025, $8.5 million in 2026, $8.7 million in 2027, $9.0 million in 2028, $9.3 million in 2029, and $50.6 million thereafter.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OMERS Agreement</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pursuant to which we were paid a $200.0 million cash purchase price in exchange for 54.5% of our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$200.0 million received in April 2023 was recognized on our condensed consolidated balance sheets as a liability which will be reduced by the payments made to OMERS over the term of the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condensed consolidated financial statements are prepared in accordance with accounting principles generally accepted in the United States of America. The preparation of our condensed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2024 Form 10-K for </w:t>
      </w:r>
      <w:r>
        <w:rPr>
          <w:rFonts w:ascii="Times New Roman" w:cs="Times New Roman" w:eastAsia="Times New Roman" w:hAnsi="Times New Roman"/>
          <w:sz w:val="18"/>
          <w:szCs w:val="18"/>
          <w:color w:val="212529"/>
        </w:rPr>
        <w:t>information about our critical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accounting policies as well as a description of our other significant accounting policies</w:t>
      </w:r>
      <w:r>
        <w:rPr>
          <w:rFonts w:ascii="Times New Roman" w:cs="Times New Roman" w:eastAsia="Times New Roman" w:hAnsi="Times New Roman"/>
          <w:sz w:val="18"/>
          <w:szCs w:val="18"/>
          <w:color w:val="000000"/>
        </w:rPr>
        <w:t>. There have been no significant changes to our critical accounting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policies since the beginning of this fiscal year.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set forth in Note 2 to the condensed consolidated financial statements included in this Form 10-Q.</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there were no material changes to our market risk disclosures as set forth in Part II, Item 7A “Quantitative and Qualitative Disclosures About Market Risk” in our Annual Report on Form 10-K for the fiscal year ended September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3" w:lineRule="exact"/>
        <w:rPr>
          <w:sz w:val="20"/>
          <w:szCs w:val="20"/>
          <w:color w:val="auto"/>
        </w:rPr>
      </w:pPr>
    </w:p>
    <w:p>
      <w:pPr>
        <w:ind w:right="48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and Internal Control over Financial Reporting </w:t>
      </w:r>
      <w:r>
        <w:rPr>
          <w:rFonts w:ascii="Times New Roman" w:cs="Times New Roman" w:eastAsia="Times New Roman" w:hAnsi="Times New Roman"/>
          <w:sz w:val="18"/>
          <w:szCs w:val="18"/>
          <w:i w:val="1"/>
          <w:iCs w:val="1"/>
          <w:color w:val="auto"/>
        </w:rPr>
        <w:t>Evaluation of Disclosure Controls and Procedures.</w:t>
      </w:r>
    </w:p>
    <w:p>
      <w:pPr>
        <w:ind w:right="12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2024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with respect to legal proceedings is included in Note 12 of the Notes to the Unaudited Condensed Consolidated Financial Statements contained in Part I, Item 1 of this Quarterly Report on Form 10-Q, which is incorporated herein by reference.</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detailed discussion of risk factors included in our 2024 Form 10-K.</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such risk factors during the quarter ended December 31, 2024. Other events that we do not currently anticipate or that we currently deem immaterial may also affect our business, prospects, financial condition and results of operations.</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19" w:lineRule="exact"/>
        <w:rPr>
          <w:sz w:val="20"/>
          <w:szCs w:val="20"/>
          <w:color w:val="auto"/>
        </w:rPr>
      </w:pPr>
    </w:p>
    <w:p>
      <w:pPr>
        <w:jc w:val="both"/>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December 31, 2024, no director or officer (as defined in Rule 16a-1(f)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of the Company adopted or terminated a “Rule 10b5-1 trading arrangement” or “non-rule 10b5-1 trading arrangement,” as each term is defined in item 408(a) of Regulation S-K.</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7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gridSpan w:val="15"/>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140" w:type="dxa"/>
            <w:vAlign w:val="bottom"/>
            <w:tcBorders>
              <w:bottom w:val="single" w:sz="8" w:color="auto"/>
            </w:tcBorders>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5"/>
          </w:tcPr>
          <w:p>
            <w:pPr>
              <w:spacing w:after="0"/>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color w:val="auto"/>
                </w:rPr>
                <w:t>Restated Certificate of Incorporation of Enanta Pharmaceuticals, Inc.</w:t>
              </w:r>
            </w:hyperlink>
          </w:p>
        </w:tc>
        <w:tc>
          <w:tcPr>
            <w:tcW w:w="0" w:type="dxa"/>
            <w:vAlign w:val="bottom"/>
          </w:tcPr>
          <w:p>
            <w:pPr>
              <w:spacing w:after="0"/>
              <w:rPr>
                <w:sz w:val="1"/>
                <w:szCs w:val="1"/>
                <w:color w:val="auto"/>
              </w:rPr>
            </w:pPr>
          </w:p>
        </w:tc>
      </w:tr>
      <w:tr>
        <w:trPr>
          <w:trHeight w:val="62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auto"/>
              </w:rPr>
            </w:pPr>
            <w:hyperlink r:id="rId168">
              <w:r>
                <w:rPr>
                  <w:rFonts w:ascii="Times New Roman" w:cs="Times New Roman" w:eastAsia="Times New Roman" w:hAnsi="Times New Roman"/>
                  <w:sz w:val="18"/>
                  <w:szCs w:val="18"/>
                  <w:color w:val="auto"/>
                </w:rPr>
                <w:t>Amended and Restated Bylaws of Enanta Pharmaceuticals, Inc. (as</w:t>
              </w:r>
            </w:hyperlink>
          </w:p>
        </w:tc>
        <w:tc>
          <w:tcPr>
            <w:tcW w:w="80" w:type="dxa"/>
            <w:vAlign w:val="bottom"/>
            <w:tcBorders>
              <w:top w:val="single" w:sz="8" w:color="0000EE"/>
            </w:tcBorders>
          </w:tcPr>
          <w:p>
            <w:pPr>
              <w:spacing w:after="0"/>
              <w:rPr>
                <w:sz w:val="24"/>
                <w:szCs w:val="24"/>
                <w:color w:val="auto"/>
              </w:rPr>
            </w:pPr>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gridSpan w:val="15"/>
          </w:tcPr>
          <w:p>
            <w:pPr>
              <w:spacing w:after="0" w:line="196" w:lineRule="exact"/>
              <w:rPr>
                <w:rFonts w:ascii="Times New Roman" w:cs="Times New Roman" w:eastAsia="Times New Roman" w:hAnsi="Times New Roman"/>
                <w:sz w:val="18"/>
                <w:szCs w:val="18"/>
                <w:color w:val="auto"/>
              </w:rPr>
            </w:pPr>
            <w:hyperlink r:id="rId168">
              <w:r>
                <w:rPr>
                  <w:rFonts w:ascii="Times New Roman" w:cs="Times New Roman" w:eastAsia="Times New Roman" w:hAnsi="Times New Roman"/>
                  <w:sz w:val="18"/>
                  <w:szCs w:val="18"/>
                  <w:color w:val="auto"/>
                </w:rPr>
                <w:t>amended and restated in August 2015)</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2019 Equity Incentive Plan (as amended December 2024)</w:t>
            </w:r>
          </w:p>
        </w:tc>
        <w:tc>
          <w:tcPr>
            <w:tcW w:w="20" w:type="dxa"/>
            <w:vAlign w:val="bottom"/>
            <w:tcBorders>
              <w:bottom w:val="single" w:sz="8" w:color="0000EE"/>
            </w:tcBorders>
          </w:tcPr>
          <w:p>
            <w:pPr>
              <w:spacing w:after="0"/>
              <w:rPr>
                <w:sz w:val="24"/>
                <w:szCs w:val="24"/>
                <w:color w:val="auto"/>
              </w:rPr>
            </w:pPr>
          </w:p>
        </w:tc>
        <w:tc>
          <w:tcPr>
            <w:tcW w:w="9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2024 Inducement Stock Incentive Plan (as amended December 2024)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or 15d-14(a) of the Securities Exchange Act of 1934.</w:t>
            </w:r>
          </w:p>
        </w:tc>
        <w:tc>
          <w:tcPr>
            <w:tcW w:w="20" w:type="dxa"/>
            <w:vAlign w:val="bottom"/>
            <w:tcBorders>
              <w:bottom w:val="single" w:sz="8" w:color="0000EE"/>
            </w:tcBorders>
          </w:tcPr>
          <w:p>
            <w:pPr>
              <w:spacing w:after="0"/>
              <w:rPr>
                <w:sz w:val="17"/>
                <w:szCs w:val="17"/>
                <w:color w:val="auto"/>
              </w:rPr>
            </w:pPr>
          </w:p>
        </w:tc>
        <w:tc>
          <w:tcPr>
            <w:tcW w:w="1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or</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auto"/>
              </w:rPr>
              <w:t>15d-14(a) of the Securities Exchange Act of 1934.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and Chief Financial</w:t>
            </w:r>
          </w:p>
        </w:tc>
        <w:tc>
          <w:tcPr>
            <w:tcW w:w="5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Officer pursuant to 18 U.S.C. Section 1350, as adopted pursuant to</w:t>
            </w:r>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906 of the Sarbanes-Oxley Act of 2002.</w:t>
            </w:r>
          </w:p>
        </w:tc>
        <w:tc>
          <w:tcPr>
            <w:tcW w:w="16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41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100" w:right="420" w:hanging="1018"/>
        <w:spacing w:after="0" w:line="266" w:lineRule="auto"/>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(formatted as Inline XBRL with applicable Taxonomy Extension information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7"/>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0"/>
                <w:szCs w:val="10"/>
                <w:color w:val="auto"/>
              </w:rPr>
            </w:pPr>
          </w:p>
        </w:tc>
        <w:tc>
          <w:tcPr>
            <w:tcW w:w="10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0"/>
                <w:szCs w:val="10"/>
                <w:color w:val="auto"/>
              </w:rPr>
            </w:pPr>
          </w:p>
        </w:tc>
        <w:tc>
          <w:tcPr>
            <w:tcW w:w="900" w:type="dxa"/>
            <w:vAlign w:val="bottom"/>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03/28/2013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08/18/2015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3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43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4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4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864"/>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240" w:space="120"/>
            <w:col w:w="4820"/>
          </w:cols>
          <w:pgMar w:left="320" w:top="98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ENANTA PHARMACEUTICALS, INC.</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Paul J. Mellett</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8" w:name="page29"/>
    <w:bookmarkEnd w:id="28"/>
    <w:p>
      <w:pPr>
        <w:ind w:left="860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2019 Equity Incentive Plan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amended through December 20, 2024)</w:t>
      </w:r>
    </w:p>
    <w:p>
      <w:pPr>
        <w:spacing w:after="0" w:line="207"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p>
    <w:p>
      <w:pPr>
        <w:spacing w:after="0" w:line="223"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18"/>
          <w:szCs w:val="18"/>
          <w:color w:val="auto"/>
        </w:rPr>
        <w:t>The purpose of this 2019 Equity Incentive Plan (this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of Enanta Pharmaceuticals,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shall include any of the Company’s present or future parent or subsidiary corporations as defined in Sections 424(e) or (f) of the Internal Revenue Code of 1986, as amended, and any regulations thereunder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18"/>
          <w:szCs w:val="18"/>
          <w:color w:val="auto"/>
        </w:rPr>
        <w:t>All of the Company’s employees, officers and directors, as well as consultants and advisors to the Company (as such terms consultants and advisors are defined and interpreted for purposes of Form S-8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or any successor form), are eligible to be granted Awards under this Plan. Each person who is granted an Award under this Plan is deemed a “</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means Options (as defined in Section 5), SARs (as defined in Section 6), Restricted Stock (as defined in Section 7), Restricted Stock Units (as defined in Section 7) and Other Stock-Based Awards (as defined in Section 8).</w:t>
      </w:r>
    </w:p>
    <w:p>
      <w:pPr>
        <w:spacing w:after="0" w:line="183"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and Delegation</w:t>
      </w:r>
    </w:p>
    <w:p>
      <w:pPr>
        <w:spacing w:after="0" w:line="225" w:lineRule="exact"/>
        <w:rPr>
          <w:rFonts w:ascii="Times New Roman" w:cs="Times New Roman" w:eastAsia="Times New Roman" w:hAnsi="Times New Roman"/>
          <w:sz w:val="18"/>
          <w:szCs w:val="18"/>
          <w:color w:val="auto"/>
        </w:rPr>
      </w:pPr>
    </w:p>
    <w:p>
      <w:pPr>
        <w:ind w:right="80" w:firstLine="1041"/>
        <w:spacing w:after="0" w:line="256" w:lineRule="auto"/>
        <w:tabs>
          <w:tab w:leader="none" w:pos="152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by Board of Directors</w:t>
      </w:r>
      <w:r>
        <w:rPr>
          <w:rFonts w:ascii="Times New Roman" w:cs="Times New Roman" w:eastAsia="Times New Roman" w:hAnsi="Times New Roman"/>
          <w:sz w:val="18"/>
          <w:szCs w:val="18"/>
          <w:color w:val="auto"/>
        </w:rPr>
        <w:t>. This Plan will be administered by the Board. The Board shall have authority to grant Awards and to adopt, amend and repeal such administrative rules, guidelines and practices relating to this Plan as it shall deem advisable. The Board may construe and interpret the terms of this Plan and any Award certificate issued or Award agreement entered into under this Plan. The Board may correct any defect, supply any omission or reconcile any inconsistency in this Plan or any Award in the manner and to the extent it shall deem expedient, and it shall be the sole and final judge of such expediency. All decisions by the Board shall be made in the Board’s sole discretion and shall be final and binding on all persons having or claiming any interest in this Plan or in any Award.</w:t>
      </w:r>
    </w:p>
    <w:p>
      <w:pPr>
        <w:spacing w:after="0" w:line="187" w:lineRule="exact"/>
        <w:rPr>
          <w:rFonts w:ascii="Times New Roman" w:cs="Times New Roman" w:eastAsia="Times New Roman" w:hAnsi="Times New Roman"/>
          <w:sz w:val="18"/>
          <w:szCs w:val="18"/>
          <w:color w:val="auto"/>
        </w:rPr>
      </w:pPr>
    </w:p>
    <w:p>
      <w:pPr>
        <w:ind w:right="140" w:firstLine="1041"/>
        <w:spacing w:after="0" w:line="261" w:lineRule="auto"/>
        <w:tabs>
          <w:tab w:leader="none" w:pos="152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permitted by applicable law, the Board may delegate any or all of its powers under this Plan to one or more committees or subcommittees of the Board (a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All references in this Plan to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shall mean the Board or a Committee of the Board or the officers referred to in Section 3(c) to the extent that the Board’s powers or authority under this Plan have been delegated to such Committee or officers.</w:t>
      </w:r>
    </w:p>
    <w:p>
      <w:pPr>
        <w:spacing w:after="0" w:line="179" w:lineRule="exact"/>
        <w:rPr>
          <w:rFonts w:ascii="Times New Roman" w:cs="Times New Roman" w:eastAsia="Times New Roman" w:hAnsi="Times New Roman"/>
          <w:sz w:val="18"/>
          <w:szCs w:val="18"/>
          <w:color w:val="auto"/>
        </w:rPr>
      </w:pPr>
    </w:p>
    <w:p>
      <w:pPr>
        <w:ind w:firstLine="1041"/>
        <w:spacing w:after="0" w:line="255" w:lineRule="auto"/>
        <w:tabs>
          <w:tab w:leader="none" w:pos="152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to Officers</w:t>
      </w:r>
      <w:r>
        <w:rPr>
          <w:rFonts w:ascii="Times New Roman" w:cs="Times New Roman" w:eastAsia="Times New Roman" w:hAnsi="Times New Roman"/>
          <w:sz w:val="18"/>
          <w:szCs w:val="18"/>
          <w:color w:val="auto"/>
        </w:rPr>
        <w:t xml:space="preserve">. To the extent permitted by applicable law, the Board may delegate to one or more officers of the Company the power to grant Options and other Awards that constitute rights under Delaware law (subject to any limitations under this Plan) to employees or officers of the Company and to exercise such other powers under this Plan as the Board may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Board shall fix the terms of such Awards to be granted by such officers (including the exercise price of such Awards, which may include a formula by which the exercise price will be determined) and the maximum number of shares subject to such Awards that the officers may grant;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however, that no officer shall be authorized to grant such Awards to any “executive officer” of the Company (as defined by Rule 3b-7 under the Securities Exchange Act of 1934, as amended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to any “officer” of the Company (as defined by Rule 16a-1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9" w:name="page30"/>
    <w:bookmarkEnd w:id="29"/>
    <w:p>
      <w:pPr>
        <w:ind w:left="8592"/>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24" w:lineRule="exact"/>
        <w:rPr>
          <w:sz w:val="20"/>
          <w:szCs w:val="20"/>
          <w:color w:val="auto"/>
        </w:rPr>
      </w:pPr>
    </w:p>
    <w:p>
      <w:pPr>
        <w:ind w:left="512" w:hanging="512"/>
        <w:spacing w:after="0"/>
        <w:tabs>
          <w:tab w:leader="none" w:pos="51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Available for Awards</w:t>
      </w:r>
    </w:p>
    <w:p>
      <w:pPr>
        <w:spacing w:after="0" w:line="130" w:lineRule="exact"/>
        <w:rPr>
          <w:rFonts w:ascii="Times New Roman" w:cs="Times New Roman" w:eastAsia="Times New Roman" w:hAnsi="Times New Roman"/>
          <w:sz w:val="18"/>
          <w:szCs w:val="18"/>
          <w:color w:val="auto"/>
        </w:rPr>
      </w:pPr>
    </w:p>
    <w:p>
      <w:pPr>
        <w:ind w:left="1012" w:hanging="263"/>
        <w:spacing w:after="0"/>
        <w:tabs>
          <w:tab w:leader="none" w:pos="101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Share Counting</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372" w:right="140" w:firstLine="1962"/>
        <w:spacing w:after="0" w:line="266"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Authorized Number of Shares</w:t>
      </w:r>
      <w:r>
        <w:rPr>
          <w:rFonts w:ascii="Times New Roman" w:cs="Times New Roman" w:eastAsia="Times New Roman" w:hAnsi="Times New Roman"/>
          <w:sz w:val="18"/>
          <w:szCs w:val="18"/>
          <w:color w:val="auto"/>
        </w:rPr>
        <w:t>. Subject to adjustment under Section 9, Awards may be made under this Plan (any or all of which Awards may be in the form of Incentive Stock Options, as defined in Section 5(b)) for up to such number of shares of common stock, par value $.01 per share, of the Company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as is equal to the sum of:</w:t>
      </w:r>
    </w:p>
    <w:p>
      <w:pPr>
        <w:spacing w:after="0" w:line="176" w:lineRule="exact"/>
        <w:rPr>
          <w:sz w:val="20"/>
          <w:szCs w:val="20"/>
          <w:color w:val="auto"/>
        </w:rPr>
      </w:pPr>
    </w:p>
    <w:p>
      <w:pPr>
        <w:ind w:left="2552" w:hanging="306"/>
        <w:spacing w:after="0"/>
        <w:tabs>
          <w:tab w:leader="none" w:pos="25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5,550,000 shares of Common Stock; plus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752" w:right="40" w:firstLine="1494"/>
        <w:spacing w:after="0" w:line="256" w:lineRule="auto"/>
        <w:tabs>
          <w:tab w:leader="none" w:pos="254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reserved for issuance under the Company’s 2012 Equity Incentive Plan, as amended through October 1, 2018 (the “</w:t>
      </w:r>
      <w:r>
        <w:rPr>
          <w:rFonts w:ascii="Times New Roman" w:cs="Times New Roman" w:eastAsia="Times New Roman" w:hAnsi="Times New Roman"/>
          <w:sz w:val="18"/>
          <w:szCs w:val="18"/>
          <w:i w:val="1"/>
          <w:iCs w:val="1"/>
          <w:color w:val="auto"/>
        </w:rPr>
        <w:t>2012 Plan</w:t>
      </w:r>
      <w:r>
        <w:rPr>
          <w:rFonts w:ascii="Times New Roman" w:cs="Times New Roman" w:eastAsia="Times New Roman" w:hAnsi="Times New Roman"/>
          <w:sz w:val="18"/>
          <w:szCs w:val="18"/>
          <w:color w:val="auto"/>
        </w:rPr>
        <w:t>”) and not issued as of the date and time of stockholder approval of this Plan (including any shares reserved for issuance under the Company’s 1995 Equity Incentive Plan, as amended, that become available under the 2012 Plan), and including the 582,637 additional shares of Common Stock added on October 1, 2018 by the provision for automatic annual increases under the 2012 Plan, but not including any further increases under such provision, which provision shall have no further effect upon stockholder approval of this Plan; plus</w:t>
      </w:r>
    </w:p>
    <w:p>
      <w:pPr>
        <w:spacing w:after="0" w:line="214" w:lineRule="exact"/>
        <w:rPr>
          <w:rFonts w:ascii="Times New Roman" w:cs="Times New Roman" w:eastAsia="Times New Roman" w:hAnsi="Times New Roman"/>
          <w:sz w:val="18"/>
          <w:szCs w:val="18"/>
          <w:color w:val="auto"/>
        </w:rPr>
      </w:pPr>
    </w:p>
    <w:p>
      <w:pPr>
        <w:ind w:left="752" w:right="80" w:firstLine="1494"/>
        <w:spacing w:after="0" w:line="261" w:lineRule="auto"/>
        <w:tabs>
          <w:tab w:leader="none" w:pos="254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reserved for issuance upon exercise of options or unit awards that are outstanding as of the date and time of stockholder approval of this Plan and that subsequently expire or are terminated, surrendered or canceled without having been fully exercised or are forfeited in whole or in part or result in any Common Stock not being issued and such shares becoming available for the grant of Awards under this Plan pursuant to Section 4(a)(2)(B).</w:t>
      </w:r>
    </w:p>
    <w:p>
      <w:pPr>
        <w:spacing w:after="0" w:line="166" w:lineRule="exact"/>
        <w:rPr>
          <w:sz w:val="20"/>
          <w:szCs w:val="20"/>
          <w:color w:val="auto"/>
        </w:rPr>
      </w:pPr>
    </w:p>
    <w:p>
      <w:pPr>
        <w:ind w:left="752" w:right="260"/>
        <w:spacing w:after="0" w:line="282" w:lineRule="auto"/>
        <w:rPr>
          <w:sz w:val="20"/>
          <w:szCs w:val="20"/>
          <w:color w:val="auto"/>
        </w:rPr>
      </w:pPr>
      <w:r>
        <w:rPr>
          <w:rFonts w:ascii="Times New Roman" w:cs="Times New Roman" w:eastAsia="Times New Roman" w:hAnsi="Times New Roman"/>
          <w:sz w:val="18"/>
          <w:szCs w:val="18"/>
          <w:color w:val="auto"/>
        </w:rPr>
        <w:t>For the avoidance of doubt, shares of Common Stock reserved for issuance under the 2012 Plan can only become available for issuance under this Section 4(a)(1)(C), if they are not issuable or issued under awards made under the 2012 Plan.</w:t>
      </w:r>
    </w:p>
    <w:p>
      <w:pPr>
        <w:spacing w:after="0" w:line="162" w:lineRule="exact"/>
        <w:rPr>
          <w:sz w:val="20"/>
          <w:szCs w:val="20"/>
          <w:color w:val="auto"/>
        </w:rPr>
      </w:pPr>
    </w:p>
    <w:p>
      <w:pPr>
        <w:ind w:left="2552" w:hanging="306"/>
        <w:spacing w:after="0"/>
        <w:tabs>
          <w:tab w:leader="none" w:pos="25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under this Plan may consist in whole or in part of authorized but unissued shares or treasury shares.</w:t>
      </w:r>
    </w:p>
    <w:p>
      <w:pPr>
        <w:spacing w:after="0" w:line="225" w:lineRule="exact"/>
        <w:rPr>
          <w:rFonts w:ascii="Times New Roman" w:cs="Times New Roman" w:eastAsia="Times New Roman" w:hAnsi="Times New Roman"/>
          <w:sz w:val="18"/>
          <w:szCs w:val="18"/>
          <w:color w:val="auto"/>
        </w:rPr>
      </w:pPr>
    </w:p>
    <w:p>
      <w:pPr>
        <w:ind w:left="2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Share Counting</w:t>
      </w:r>
      <w:r>
        <w:rPr>
          <w:rFonts w:ascii="Times New Roman" w:cs="Times New Roman" w:eastAsia="Times New Roman" w:hAnsi="Times New Roman"/>
          <w:sz w:val="18"/>
          <w:szCs w:val="18"/>
          <w:color w:val="auto"/>
        </w:rPr>
        <w:t>. For purposes of counting the number of shares available for the grant of Awards under this Plan:</w:t>
      </w:r>
    </w:p>
    <w:p>
      <w:pPr>
        <w:spacing w:after="0" w:line="225" w:lineRule="exact"/>
        <w:rPr>
          <w:rFonts w:ascii="Times New Roman" w:cs="Times New Roman" w:eastAsia="Times New Roman" w:hAnsi="Times New Roman"/>
          <w:sz w:val="18"/>
          <w:szCs w:val="18"/>
          <w:color w:val="auto"/>
        </w:rPr>
      </w:pPr>
    </w:p>
    <w:p>
      <w:pPr>
        <w:ind w:left="752" w:firstLine="2243"/>
        <w:spacing w:after="0" w:line="258" w:lineRule="auto"/>
        <w:tabs>
          <w:tab w:leader="none" w:pos="356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shares of Common Stock covered by SARs shall be counted against the number of shares available for the grant of Awards under this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SARs that may be settled only in cash shall not be so counted and (ii) if the Company grants an SAR in tandem with an Option for the same number of shares of Common Stock and provides that only one such Award may be exercised (a “</w:t>
      </w:r>
      <w:r>
        <w:rPr>
          <w:rFonts w:ascii="Times New Roman" w:cs="Times New Roman" w:eastAsia="Times New Roman" w:hAnsi="Times New Roman"/>
          <w:sz w:val="18"/>
          <w:szCs w:val="18"/>
          <w:i w:val="1"/>
          <w:iCs w:val="1"/>
          <w:color w:val="auto"/>
        </w:rPr>
        <w:t>Tandem SAR</w:t>
      </w:r>
      <w:r>
        <w:rPr>
          <w:rFonts w:ascii="Times New Roman" w:cs="Times New Roman" w:eastAsia="Times New Roman" w:hAnsi="Times New Roman"/>
          <w:sz w:val="18"/>
          <w:szCs w:val="18"/>
          <w:color w:val="auto"/>
        </w:rPr>
        <w:t>”), only the shares covered by the Option, and not the shares covered by the Tandem SAR, shall be so counted, and the expiration of one in connection with the other’s exercise will not restore shares to this Plan;</w:t>
      </w:r>
    </w:p>
    <w:p>
      <w:pPr>
        <w:spacing w:after="0" w:line="183" w:lineRule="exact"/>
        <w:rPr>
          <w:rFonts w:ascii="Times New Roman" w:cs="Times New Roman" w:eastAsia="Times New Roman" w:hAnsi="Times New Roman"/>
          <w:sz w:val="18"/>
          <w:szCs w:val="18"/>
          <w:color w:val="auto"/>
        </w:rPr>
      </w:pPr>
    </w:p>
    <w:p>
      <w:pPr>
        <w:ind w:left="752" w:firstLine="2243"/>
        <w:spacing w:after="0" w:line="254" w:lineRule="auto"/>
        <w:tabs>
          <w:tab w:leader="none" w:pos="356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Award under this Plan or, as applicable, the 2012 Plan (i)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could be settled either in cash or in stock actually being settled in cash), the unused Common Stock covered by such Award shall become available for the grant of Awards under this Plan (even if previously granted under the 2012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(1) in the case of Incentive Stock Options, the foregoing shall be subject to any limitations under the Code, (2) in the case of the exercise of an SAR, the number of shares counted against the shares available under this Plan shall be the full number of shares subject to the SAR multiplied by the percentage of the SAR actually exercised, regardless of the number of shares actually used to settle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873125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08" w:right="339" w:bottom="1440" w:gutter="0" w:footer="0" w:header="0"/>
        </w:sectPr>
      </w:pPr>
    </w:p>
    <w:bookmarkStart w:id="30" w:name="page31"/>
    <w:bookmarkEnd w:id="30"/>
    <w:p>
      <w:pPr>
        <w:ind w:left="860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2" w:lineRule="exact"/>
        <w:rPr>
          <w:sz w:val="20"/>
          <w:szCs w:val="20"/>
          <w:color w:val="auto"/>
        </w:rPr>
      </w:pPr>
    </w:p>
    <w:p>
      <w:pPr>
        <w:ind w:left="760" w:right="60"/>
        <w:spacing w:after="0" w:line="282" w:lineRule="auto"/>
        <w:rPr>
          <w:sz w:val="20"/>
          <w:szCs w:val="20"/>
          <w:color w:val="auto"/>
        </w:rPr>
      </w:pPr>
      <w:r>
        <w:rPr>
          <w:rFonts w:ascii="Times New Roman" w:cs="Times New Roman" w:eastAsia="Times New Roman" w:hAnsi="Times New Roman"/>
          <w:sz w:val="18"/>
          <w:szCs w:val="18"/>
          <w:color w:val="auto"/>
        </w:rPr>
        <w:t>SAR upon exercise and (3) the shares covered by a tandem SAR shall not again become available for grant upon the expiration or termination of such tandem SAR;</w:t>
      </w:r>
    </w:p>
    <w:p>
      <w:pPr>
        <w:spacing w:after="0" w:line="162" w:lineRule="exact"/>
        <w:rPr>
          <w:sz w:val="20"/>
          <w:szCs w:val="20"/>
          <w:color w:val="auto"/>
        </w:rPr>
      </w:pPr>
    </w:p>
    <w:p>
      <w:pPr>
        <w:ind w:left="840" w:right="40" w:firstLine="2162"/>
        <w:spacing w:after="0" w:line="261" w:lineRule="auto"/>
        <w:tabs>
          <w:tab w:leader="none" w:pos="3566"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delivered (either by actual delivery, attestation, or net exercise) to the Company by a Participant under this Plan or the 2012 Plan to (i) purchase shares of Common Stock upon the exercise of an Award or (ii) satisfy tax withholding obligations (including shares retained from the Award creating the tax obligation) shall not be added back to the number of shares available for the future grant of Awards under this Plan.</w:t>
      </w:r>
    </w:p>
    <w:p>
      <w:pPr>
        <w:spacing w:after="0" w:line="206" w:lineRule="exact"/>
        <w:rPr>
          <w:rFonts w:ascii="Times New Roman" w:cs="Times New Roman" w:eastAsia="Times New Roman" w:hAnsi="Times New Roman"/>
          <w:sz w:val="18"/>
          <w:szCs w:val="18"/>
          <w:color w:val="auto"/>
        </w:rPr>
      </w:pPr>
    </w:p>
    <w:p>
      <w:pPr>
        <w:ind w:left="840" w:right="520" w:firstLine="2162"/>
        <w:spacing w:after="0" w:line="282" w:lineRule="auto"/>
        <w:tabs>
          <w:tab w:leader="none" w:pos="3566"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repurchased by the Company in the open market with the proceeds of the exercise price of an option may not be reissued under this Plan.</w:t>
      </w:r>
    </w:p>
    <w:p>
      <w:pPr>
        <w:spacing w:after="0" w:line="188" w:lineRule="exact"/>
        <w:rPr>
          <w:rFonts w:ascii="Times New Roman" w:cs="Times New Roman" w:eastAsia="Times New Roman" w:hAnsi="Times New Roman"/>
          <w:sz w:val="18"/>
          <w:szCs w:val="18"/>
          <w:color w:val="auto"/>
        </w:rPr>
      </w:pPr>
    </w:p>
    <w:p>
      <w:pPr>
        <w:ind w:firstLine="757"/>
        <w:spacing w:after="0" w:line="258" w:lineRule="auto"/>
        <w:tabs>
          <w:tab w:leader="none" w:pos="10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this Plan. Substitute Awards shall not count against the overall share limit set forth in Section 4(a)(1) or any sublimit contained in this Plan, except as may be required by reason of Section 422 and related provisions of the Code.</w:t>
      </w:r>
    </w:p>
    <w:p>
      <w:pPr>
        <w:spacing w:after="0" w:line="208" w:lineRule="exact"/>
        <w:rPr>
          <w:rFonts w:ascii="Times New Roman" w:cs="Times New Roman" w:eastAsia="Times New Roman" w:hAnsi="Times New Roman"/>
          <w:sz w:val="18"/>
          <w:szCs w:val="18"/>
          <w:color w:val="auto"/>
        </w:rPr>
      </w:pPr>
    </w:p>
    <w:p>
      <w:pPr>
        <w:ind w:right="60" w:firstLine="757"/>
        <w:spacing w:after="0" w:line="255" w:lineRule="auto"/>
        <w:tabs>
          <w:tab w:leader="none" w:pos="10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Non-Employee Director Aggregate Compensation Limit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aggregate value of all compensation granted or paid, as applicable, to any individual for service as a non-employee director of the Company with respect to any period commencing on the date of the Company’s annual meeting of stockholders for a particular year and ending on the day immediately prior to the date of the Company’s annual meeting of stockholders for the next subsequent year, including Awards granted and cash fees paid or payable by the Company to such non-employee director, will not exceed (i) $600,000 in total value or (ii) in the event such non-employee director is first appointed or elected to the Board during such period, $900,000 in total value. The value of any Awards included in the calculation of such total value shall be based on the grant date fair value of such Awards for financial reporting purposes, and any compensation shall be counted towards these limits for the service year in which it is earned (and not when settled or paid in the event any such compensation is deferred).</w:t>
      </w:r>
    </w:p>
    <w:p>
      <w:pPr>
        <w:spacing w:after="0" w:line="18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p>
    <w:p>
      <w:pPr>
        <w:spacing w:after="0" w:line="223" w:lineRule="exact"/>
        <w:rPr>
          <w:rFonts w:ascii="Times New Roman" w:cs="Times New Roman" w:eastAsia="Times New Roman" w:hAnsi="Times New Roman"/>
          <w:sz w:val="18"/>
          <w:szCs w:val="18"/>
          <w:color w:val="auto"/>
        </w:rPr>
      </w:pPr>
    </w:p>
    <w:p>
      <w:pPr>
        <w:ind w:right="360" w:firstLine="757"/>
        <w:spacing w:after="0" w:line="267" w:lineRule="auto"/>
        <w:tabs>
          <w:tab w:leader="none" w:pos="101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options to purchase Common Stock (each, an “</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w:t>
      </w:r>
    </w:p>
    <w:p>
      <w:pPr>
        <w:spacing w:after="0" w:line="17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An Option that the Board intends to be an “incentive stock option” as defined in Section 422 of the Code (an</w:t>
      </w:r>
    </w:p>
    <w:p>
      <w:pPr>
        <w:spacing w:after="0" w:line="2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shall only be granted to employees of Enanta Pharmaceuticals, Inc., any of Enanta Pharmaceuticals,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Times New Roman" w:cs="Times New Roman" w:eastAsia="Times New Roman" w:hAnsi="Times New Roman"/>
          <w:sz w:val="18"/>
          <w:szCs w:val="18"/>
          <w:i w:val="1"/>
          <w:iCs w:val="1"/>
          <w:color w:val="auto"/>
        </w:rPr>
        <w:t>Nonstatutory Stock Option</w:t>
      </w:r>
      <w:r>
        <w:rPr>
          <w:rFonts w:ascii="Times New Roman" w:cs="Times New Roman" w:eastAsia="Times New Roman" w:hAnsi="Times New Roman"/>
          <w:sz w:val="18"/>
          <w:szCs w:val="18"/>
          <w:color w:val="auto"/>
        </w:rPr>
        <w:t>.” The Company shall have no liability to a Participant, or any other party, if an Option (or any part thereof) that is intended to be an Incentive Stock Option is not an Incentive Stock Option or if the Company converts an Incentive Stock Option to a Nonstatutory Stock Option. No Incentive Stock Option may be granted hereunder more than 10 years after the Effective Date (as defined in Section 11(d) and subject to reset as provided therein).</w:t>
      </w:r>
    </w:p>
    <w:p>
      <w:pPr>
        <w:spacing w:after="0" w:line="188" w:lineRule="exact"/>
        <w:rPr>
          <w:sz w:val="20"/>
          <w:szCs w:val="20"/>
          <w:color w:val="auto"/>
        </w:rPr>
      </w:pPr>
    </w:p>
    <w:p>
      <w:pPr>
        <w:ind w:right="20" w:firstLine="757"/>
        <w:spacing w:after="0" w:line="261" w:lineRule="auto"/>
        <w:tabs>
          <w:tab w:leader="none" w:pos="10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Board shall establish the exercise price of each Option and specify the exercise price in the applicable Option certificate. The exercise price shall be not less than 100% of the Fair Market Value per share of Common Stock on the date the Option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approves the grant of an Option with an exercise price to be determined on a future date, the exercise price shall be not less than 100% of the Fair Market Value on such future date. </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xml:space="preserve"> of Common Stock on any given date means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1" w:name="page32"/>
    <w:bookmarkEnd w:id="31"/>
    <w:p>
      <w:pPr>
        <w:ind w:left="860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2"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fair market value of Common Stock determined in good faith by the Board; provided, however, that if Common Stock is admitted to quotation on a national securities exchange, the determination shall be made by reference to market quotations. If there are no market quotations for such date, the determination shall be made by reference to the last preceding such date for which there are market quotations.</w:t>
      </w:r>
    </w:p>
    <w:p>
      <w:pPr>
        <w:spacing w:after="0" w:line="176" w:lineRule="exact"/>
        <w:rPr>
          <w:sz w:val="20"/>
          <w:szCs w:val="20"/>
          <w:color w:val="auto"/>
        </w:rPr>
      </w:pPr>
    </w:p>
    <w:p>
      <w:pPr>
        <w:ind w:right="20" w:firstLine="757"/>
        <w:spacing w:after="0" w:line="282" w:lineRule="auto"/>
        <w:tabs>
          <w:tab w:leader="none" w:pos="10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Options</w:t>
      </w:r>
      <w:r>
        <w:rPr>
          <w:rFonts w:ascii="Times New Roman" w:cs="Times New Roman" w:eastAsia="Times New Roman" w:hAnsi="Times New Roman"/>
          <w:sz w:val="18"/>
          <w:szCs w:val="18"/>
          <w:color w:val="auto"/>
        </w:rPr>
        <w:t xml:space="preserve">. Each Option shall be exercisable at such times and subject to such terms and conditions as the Board may specify in the applicable option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Option will be granted with a term in excess of ten (10) years.</w:t>
      </w:r>
    </w:p>
    <w:p>
      <w:pPr>
        <w:spacing w:after="0" w:line="161" w:lineRule="exact"/>
        <w:rPr>
          <w:rFonts w:ascii="Times New Roman" w:cs="Times New Roman" w:eastAsia="Times New Roman" w:hAnsi="Times New Roman"/>
          <w:sz w:val="18"/>
          <w:szCs w:val="18"/>
          <w:color w:val="auto"/>
        </w:rPr>
      </w:pPr>
    </w:p>
    <w:p>
      <w:pPr>
        <w:ind w:right="160" w:firstLine="757"/>
        <w:spacing w:after="0" w:line="266" w:lineRule="auto"/>
        <w:tabs>
          <w:tab w:leader="none" w:pos="10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w:t>
      </w:r>
      <w:r>
        <w:rPr>
          <w:rFonts w:ascii="Times New Roman" w:cs="Times New Roman" w:eastAsia="Times New Roman" w:hAnsi="Times New Roman"/>
          <w:sz w:val="18"/>
          <w:szCs w:val="18"/>
          <w:color w:val="auto"/>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spacing w:after="0" w:line="17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Common Stock purchased upon the exercise of an Option granted under this Plan shall be paid for as follows:</w:t>
      </w:r>
    </w:p>
    <w:p>
      <w:pPr>
        <w:spacing w:after="0" w:line="2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(1)in cash or by check, payable to the order of the Company;</w:t>
      </w:r>
    </w:p>
    <w:p>
      <w:pPr>
        <w:spacing w:after="0" w:line="225" w:lineRule="exact"/>
        <w:rPr>
          <w:sz w:val="20"/>
          <w:szCs w:val="20"/>
          <w:color w:val="auto"/>
        </w:rPr>
      </w:pPr>
    </w:p>
    <w:p>
      <w:pPr>
        <w:ind w:left="380" w:right="20" w:firstLine="1962"/>
        <w:spacing w:after="0" w:line="258" w:lineRule="auto"/>
        <w:rPr>
          <w:sz w:val="20"/>
          <w:szCs w:val="20"/>
          <w:color w:val="auto"/>
        </w:rPr>
      </w:pPr>
      <w:r>
        <w:rPr>
          <w:rFonts w:ascii="Times New Roman" w:cs="Times New Roman" w:eastAsia="Times New Roman" w:hAnsi="Times New Roman"/>
          <w:sz w:val="18"/>
          <w:szCs w:val="18"/>
          <w:color w:val="auto"/>
        </w:rPr>
        <w:t>(2)except as may otherwise be provided in the applicable Option certificate or approved by the Board, in its sole discretion,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83" w:lineRule="exact"/>
        <w:rPr>
          <w:sz w:val="20"/>
          <w:szCs w:val="20"/>
          <w:color w:val="auto"/>
        </w:rPr>
      </w:pPr>
    </w:p>
    <w:p>
      <w:pPr>
        <w:ind w:left="380" w:firstLine="1962"/>
        <w:spacing w:after="0" w:line="258" w:lineRule="auto"/>
        <w:rPr>
          <w:sz w:val="20"/>
          <w:szCs w:val="20"/>
          <w:color w:val="auto"/>
        </w:rPr>
      </w:pPr>
      <w:r>
        <w:rPr>
          <w:rFonts w:ascii="Times New Roman" w:cs="Times New Roman" w:eastAsia="Times New Roman" w:hAnsi="Times New Roman"/>
          <w:sz w:val="18"/>
          <w:szCs w:val="18"/>
          <w:color w:val="auto"/>
        </w:rPr>
        <w:t>(3)to the extent provided for in the applicable Option certificate or approved by the Board, in its sole discretion, by delivery (either by actual delivery or attestation) of shares of Common Stock owned by the Participant valued at their Fair Market Value, provided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183" w:lineRule="exact"/>
        <w:rPr>
          <w:sz w:val="20"/>
          <w:szCs w:val="20"/>
          <w:color w:val="auto"/>
        </w:rPr>
      </w:pPr>
    </w:p>
    <w:p>
      <w:pPr>
        <w:ind w:left="380" w:right="200" w:firstLine="1962"/>
        <w:spacing w:after="0" w:line="261" w:lineRule="auto"/>
        <w:rPr>
          <w:sz w:val="20"/>
          <w:szCs w:val="20"/>
          <w:color w:val="auto"/>
        </w:rPr>
      </w:pPr>
      <w:r>
        <w:rPr>
          <w:rFonts w:ascii="Times New Roman" w:cs="Times New Roman" w:eastAsia="Times New Roman" w:hAnsi="Times New Roman"/>
          <w:sz w:val="18"/>
          <w:szCs w:val="18"/>
          <w:color w:val="auto"/>
        </w:rPr>
        <w:t>(4)to the extent provided for in the applicable Nonstatutory Stock Option certificate or approved by the Board in its sole discretion,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on the date of exercise;</w:t>
      </w:r>
    </w:p>
    <w:p>
      <w:pPr>
        <w:spacing w:after="0" w:line="180" w:lineRule="exact"/>
        <w:rPr>
          <w:sz w:val="20"/>
          <w:szCs w:val="20"/>
          <w:color w:val="auto"/>
        </w:rPr>
      </w:pPr>
    </w:p>
    <w:p>
      <w:pPr>
        <w:ind w:left="380" w:right="40" w:firstLine="1962"/>
        <w:spacing w:after="0" w:line="282" w:lineRule="auto"/>
        <w:rPr>
          <w:sz w:val="20"/>
          <w:szCs w:val="20"/>
          <w:color w:val="auto"/>
        </w:rPr>
      </w:pPr>
      <w:r>
        <w:rPr>
          <w:rFonts w:ascii="Times New Roman" w:cs="Times New Roman" w:eastAsia="Times New Roman" w:hAnsi="Times New Roman"/>
          <w:sz w:val="18"/>
          <w:szCs w:val="18"/>
          <w:color w:val="auto"/>
        </w:rPr>
        <w:t>(5)to the extent permitted by applicable law and provided for in the applicable Option certificate or approved by the Board, in its sole discretion, by payment of such other lawful consideration as the Board may determine; or</w:t>
      </w:r>
    </w:p>
    <w:p>
      <w:pPr>
        <w:spacing w:after="0" w:line="16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(6)by any combination of the above permitted forms of payment.</w:t>
      </w:r>
    </w:p>
    <w:p>
      <w:pPr>
        <w:spacing w:after="0" w:line="225" w:lineRule="exact"/>
        <w:rPr>
          <w:sz w:val="20"/>
          <w:szCs w:val="20"/>
          <w:color w:val="auto"/>
        </w:rPr>
      </w:pPr>
    </w:p>
    <w:p>
      <w:pPr>
        <w:ind w:right="140" w:firstLine="757"/>
        <w:spacing w:after="0" w:line="255" w:lineRule="auto"/>
        <w:tabs>
          <w:tab w:leader="none" w:pos="10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stockholders, the Company may not (except as provided for under Section 9): (1) amend any outstanding Option granted under this Plan to provide an exercise price per share that is lower than the then-current exercise price per share of such outstanding Option, (2) cancel any outstanding option (whether or not granted under this Plan) and grant in substitution therefor new Awards under this Plan (other than Awards granted pursuant to Section 4(b))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other than pursuant to Section 9, or (4) take any other action under this Plan that constitutes a “repricing” within the meaning of the rules of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ind w:left="8592"/>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18" w:lineRule="exact"/>
        <w:rPr>
          <w:sz w:val="20"/>
          <w:szCs w:val="20"/>
          <w:color w:val="auto"/>
        </w:rPr>
      </w:pPr>
    </w:p>
    <w:p>
      <w:pPr>
        <w:ind w:left="512" w:hanging="512"/>
        <w:spacing w:after="0"/>
        <w:tabs>
          <w:tab w:leader="none" w:pos="5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p>
    <w:p>
      <w:pPr>
        <w:spacing w:after="0" w:line="223" w:lineRule="exact"/>
        <w:rPr>
          <w:rFonts w:ascii="Times New Roman" w:cs="Times New Roman" w:eastAsia="Times New Roman" w:hAnsi="Times New Roman"/>
          <w:sz w:val="18"/>
          <w:szCs w:val="18"/>
          <w:color w:val="auto"/>
        </w:rPr>
      </w:pPr>
    </w:p>
    <w:p>
      <w:pPr>
        <w:ind w:left="-8" w:right="60" w:firstLine="757"/>
        <w:spacing w:after="0" w:line="261" w:lineRule="auto"/>
        <w:tabs>
          <w:tab w:leader="none" w:pos="10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consisting of stock appreciation rights (“</w:t>
      </w: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over the measurement price established pursuant to Section 6(b). The date as of which such appreciation is determined shall be the exercise date.</w:t>
      </w:r>
    </w:p>
    <w:p>
      <w:pPr>
        <w:spacing w:after="0" w:line="181" w:lineRule="exact"/>
        <w:rPr>
          <w:rFonts w:ascii="Times New Roman" w:cs="Times New Roman" w:eastAsia="Times New Roman" w:hAnsi="Times New Roman"/>
          <w:sz w:val="18"/>
          <w:szCs w:val="18"/>
          <w:color w:val="auto"/>
        </w:rPr>
      </w:pPr>
    </w:p>
    <w:p>
      <w:pPr>
        <w:ind w:left="-8" w:right="20" w:firstLine="757"/>
        <w:spacing w:after="0" w:line="266" w:lineRule="auto"/>
        <w:tabs>
          <w:tab w:leader="none" w:pos="10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Measurement Price</w:t>
      </w:r>
      <w:r>
        <w:rPr>
          <w:rFonts w:ascii="Times New Roman" w:cs="Times New Roman" w:eastAsia="Times New Roman" w:hAnsi="Times New Roman"/>
          <w:sz w:val="18"/>
          <w:szCs w:val="18"/>
          <w:color w:val="auto"/>
        </w:rPr>
        <w:t xml:space="preserve">. The Board shall establish the measurement price of each SAR and specify it in the applicable SAR certificate. The measurement price shall not be less than 100% of the Fair Market Value on the date the SAR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approves the grant of an SAR effective as of a future date, the measurement price shall be not less than 100% of the Fair Market Value on such future date.</w:t>
      </w:r>
    </w:p>
    <w:p>
      <w:pPr>
        <w:spacing w:after="0" w:line="175" w:lineRule="exact"/>
        <w:rPr>
          <w:rFonts w:ascii="Times New Roman" w:cs="Times New Roman" w:eastAsia="Times New Roman" w:hAnsi="Times New Roman"/>
          <w:sz w:val="18"/>
          <w:szCs w:val="18"/>
          <w:color w:val="auto"/>
        </w:rPr>
      </w:pPr>
    </w:p>
    <w:p>
      <w:pPr>
        <w:ind w:left="-8" w:right="280" w:firstLine="757"/>
        <w:spacing w:after="0" w:line="282" w:lineRule="auto"/>
        <w:tabs>
          <w:tab w:leader="none" w:pos="10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SARs</w:t>
      </w:r>
      <w:r>
        <w:rPr>
          <w:rFonts w:ascii="Times New Roman" w:cs="Times New Roman" w:eastAsia="Times New Roman" w:hAnsi="Times New Roman"/>
          <w:sz w:val="18"/>
          <w:szCs w:val="18"/>
          <w:color w:val="auto"/>
        </w:rPr>
        <w:t xml:space="preserve">. Each SAR shall be exercisable at such times and subject to such terms and conditions as the Board may specify in the applicable SAR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SAR will be granted with a term in excess of 10 years.</w:t>
      </w:r>
    </w:p>
    <w:p>
      <w:pPr>
        <w:spacing w:after="0" w:line="161" w:lineRule="exact"/>
        <w:rPr>
          <w:rFonts w:ascii="Times New Roman" w:cs="Times New Roman" w:eastAsia="Times New Roman" w:hAnsi="Times New Roman"/>
          <w:sz w:val="18"/>
          <w:szCs w:val="18"/>
          <w:color w:val="auto"/>
        </w:rPr>
      </w:pPr>
    </w:p>
    <w:p>
      <w:pPr>
        <w:ind w:left="-8" w:right="40" w:firstLine="757"/>
        <w:spacing w:after="0" w:line="282" w:lineRule="auto"/>
        <w:tabs>
          <w:tab w:leader="none" w:pos="10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SARs</w:t>
      </w:r>
      <w:r>
        <w:rPr>
          <w:rFonts w:ascii="Times New Roman" w:cs="Times New Roman" w:eastAsia="Times New Roman" w:hAnsi="Times New Roman"/>
          <w:sz w:val="18"/>
          <w:szCs w:val="18"/>
          <w:color w:val="auto"/>
        </w:rPr>
        <w:t>. SARs may be exercised by delivery to the Company of a notice of exercise in a form (which may be electronic) approved by the Company, together with any other documents required by the Board.</w:t>
      </w:r>
    </w:p>
    <w:p>
      <w:pPr>
        <w:spacing w:after="0" w:line="161" w:lineRule="exact"/>
        <w:rPr>
          <w:rFonts w:ascii="Times New Roman" w:cs="Times New Roman" w:eastAsia="Times New Roman" w:hAnsi="Times New Roman"/>
          <w:sz w:val="18"/>
          <w:szCs w:val="18"/>
          <w:color w:val="auto"/>
        </w:rPr>
      </w:pPr>
    </w:p>
    <w:p>
      <w:pPr>
        <w:ind w:left="-8" w:right="140" w:firstLine="757"/>
        <w:spacing w:after="0" w:line="255" w:lineRule="auto"/>
        <w:tabs>
          <w:tab w:leader="none" w:pos="10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stockholders, the Company may not (except as provided for under Section 9): (1) amend any outstanding SAR granted under this Plan to provide a measurement price per share that is lower than the then-current measurement price per share of such outstanding SAR, (2) cancel any outstanding SAR (whether or not granted under this Plan) and grant in substitution therefor new Awards under this Plan (other than Awards granted pursuant to Section 4(b)) covering the same or a different number of shares of Common Stock and having an exercise or measurement price per share lower than the then-current measurement price per share of the cancelled SAR, (3) cancel in exchange for a cash payment any outstanding SAR with a measurement price per share above the then-current Fair Market Value, other than pursuant to Section 9, or (4) take any other action under this Plan that constitutes a “repricing” within the meaning of the rules of the NASDAQ Stock Market.</w:t>
      </w:r>
    </w:p>
    <w:p>
      <w:pPr>
        <w:spacing w:after="0" w:line="188"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Restricted Stock Units</w:t>
      </w:r>
    </w:p>
    <w:p>
      <w:pPr>
        <w:spacing w:after="0" w:line="223" w:lineRule="exact"/>
        <w:rPr>
          <w:rFonts w:ascii="Times New Roman" w:cs="Times New Roman" w:eastAsia="Times New Roman" w:hAnsi="Times New Roman"/>
          <w:sz w:val="18"/>
          <w:szCs w:val="18"/>
          <w:color w:val="auto"/>
        </w:rPr>
      </w:pPr>
    </w:p>
    <w:p>
      <w:pPr>
        <w:ind w:left="-8" w:right="180" w:firstLine="757"/>
        <w:spacing w:after="0" w:line="257" w:lineRule="auto"/>
        <w:tabs>
          <w:tab w:leader="none" w:pos="10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entitling recipients to acquire shares of Common Stock (“</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w:t>
      </w: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(Restricted Stock and Restricted Stock Units are each referred to herein as a “</w:t>
      </w:r>
      <w:r>
        <w:rPr>
          <w:rFonts w:ascii="Times New Roman" w:cs="Times New Roman" w:eastAsia="Times New Roman" w:hAnsi="Times New Roman"/>
          <w:sz w:val="18"/>
          <w:szCs w:val="18"/>
          <w:i w:val="1"/>
          <w:iCs w:val="1"/>
          <w:color w:val="auto"/>
        </w:rPr>
        <w:t>Restricted Stock Award</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8" w:right="240" w:firstLine="757"/>
        <w:spacing w:after="0" w:line="282" w:lineRule="auto"/>
        <w:tabs>
          <w:tab w:leader="none" w:pos="10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for All Restricted Stock Awards</w:t>
      </w:r>
      <w:r>
        <w:rPr>
          <w:rFonts w:ascii="Times New Roman" w:cs="Times New Roman" w:eastAsia="Times New Roman" w:hAnsi="Times New Roman"/>
          <w:sz w:val="18"/>
          <w:szCs w:val="18"/>
          <w:color w:val="auto"/>
        </w:rPr>
        <w:t>. The Board shall determine the terms and conditions of a Restricted Stock Award, including the conditions for vesting and repurchase (or forfeiture) and the issue price, if any.</w:t>
      </w:r>
    </w:p>
    <w:p>
      <w:pPr>
        <w:spacing w:after="0" w:line="161" w:lineRule="exact"/>
        <w:rPr>
          <w:rFonts w:ascii="Times New Roman" w:cs="Times New Roman" w:eastAsia="Times New Roman" w:hAnsi="Times New Roman"/>
          <w:sz w:val="18"/>
          <w:szCs w:val="18"/>
          <w:color w:val="auto"/>
        </w:rPr>
      </w:pPr>
    </w:p>
    <w:p>
      <w:pPr>
        <w:ind w:left="1012" w:hanging="263"/>
        <w:spacing w:after="0"/>
        <w:tabs>
          <w:tab w:leader="none" w:pos="101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72" w:firstLine="1962"/>
        <w:spacing w:after="0" w:line="261"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Any dividends (whether paid in cash, stock or property) declared and paid by the Company with respect to shares of Restricted Stock (“</w:t>
      </w:r>
      <w:r>
        <w:rPr>
          <w:rFonts w:ascii="Times New Roman" w:cs="Times New Roman" w:eastAsia="Times New Roman" w:hAnsi="Times New Roman"/>
          <w:sz w:val="18"/>
          <w:szCs w:val="18"/>
          <w:i w:val="1"/>
          <w:iCs w:val="1"/>
          <w:color w:val="auto"/>
        </w:rPr>
        <w:t>Accrued Dividends</w:t>
      </w:r>
      <w:r>
        <w:rPr>
          <w:rFonts w:ascii="Times New Roman" w:cs="Times New Roman" w:eastAsia="Times New Roman" w:hAnsi="Times New Roman"/>
          <w:sz w:val="18"/>
          <w:szCs w:val="18"/>
          <w:color w:val="auto"/>
        </w:rPr>
        <w:t>”) shall be paid to the Participant only if and when such shares become free from the restrictions on transferability and forfeitability that apply to such shares. Each payment of Accrued Dividends will be made no later than the end of the calendar year in which the dividends are paid to stockholders of that class of stock or, if later, the 15th 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867410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08" w:right="359" w:bottom="1440" w:gutter="0" w:footer="0" w:header="0"/>
        </w:sectPr>
      </w:pPr>
    </w:p>
    <w:bookmarkStart w:id="33" w:name="page34"/>
    <w:bookmarkEnd w:id="33"/>
    <w:p>
      <w:pPr>
        <w:ind w:left="860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2" w:lineRule="exact"/>
        <w:rPr>
          <w:sz w:val="20"/>
          <w:szCs w:val="20"/>
          <w:color w:val="auto"/>
        </w:rPr>
      </w:pPr>
    </w:p>
    <w:p>
      <w:pPr>
        <w:ind w:left="380" w:right="520"/>
        <w:spacing w:after="0" w:line="282" w:lineRule="auto"/>
        <w:rPr>
          <w:sz w:val="20"/>
          <w:szCs w:val="20"/>
          <w:color w:val="auto"/>
        </w:rPr>
      </w:pPr>
      <w:r>
        <w:rPr>
          <w:rFonts w:ascii="Times New Roman" w:cs="Times New Roman" w:eastAsia="Times New Roman" w:hAnsi="Times New Roman"/>
          <w:sz w:val="18"/>
          <w:szCs w:val="18"/>
          <w:color w:val="auto"/>
        </w:rPr>
        <w:t>the third month following the lapsing of the restrictions on transferability and the forfeitability provisions applicable to the underlying shares of Restricted Stock.</w:t>
      </w:r>
    </w:p>
    <w:p>
      <w:pPr>
        <w:spacing w:after="0" w:line="162" w:lineRule="exact"/>
        <w:rPr>
          <w:sz w:val="20"/>
          <w:szCs w:val="20"/>
          <w:color w:val="auto"/>
        </w:rPr>
      </w:pPr>
    </w:p>
    <w:p>
      <w:pPr>
        <w:ind w:left="380" w:right="40" w:firstLine="1962"/>
        <w:spacing w:after="0" w:line="254" w:lineRule="auto"/>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Company may require that stock transfer restrictions be implemented by the Company’s transfer agent with respect to shares of Restricted Stock, and that dividends or distributions paid on such Restricted Stock shall be deposited in escrow with the Company (or its designee) by the Participant, together with a stock power endorsed in blank. At the expiration of the applicable restriction periods, the Company (or such designee) shall instruct the Company’s transfer agent to remove the restrictions on transfer regarding the applicable shares no longer subject to such restrictions and deliver them to the Participant, or if the Participant has died, to his or her Designated Beneficiary in accordance with appropriate instructions for electronic delivery of uncertificated shares. “</w:t>
      </w:r>
      <w:r>
        <w:rPr>
          <w:rFonts w:ascii="Times New Roman" w:cs="Times New Roman" w:eastAsia="Times New Roman" w:hAnsi="Times New Roman"/>
          <w:sz w:val="18"/>
          <w:szCs w:val="18"/>
          <w:i w:val="1"/>
          <w:iCs w:val="1"/>
          <w:color w:val="auto"/>
        </w:rPr>
        <w:t>Designated Beneficiary</w:t>
      </w:r>
      <w:r>
        <w:rPr>
          <w:rFonts w:ascii="Times New Roman" w:cs="Times New Roman" w:eastAsia="Times New Roman" w:hAnsi="Times New Roman"/>
          <w:sz w:val="18"/>
          <w:szCs w:val="18"/>
          <w:color w:val="auto"/>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192" w:lineRule="exact"/>
        <w:rPr>
          <w:sz w:val="20"/>
          <w:szCs w:val="20"/>
          <w:color w:val="auto"/>
        </w:rPr>
      </w:pPr>
    </w:p>
    <w:p>
      <w:pPr>
        <w:ind w:left="1540" w:hanging="499"/>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Stock Units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80" w:right="20" w:firstLine="1962"/>
        <w:spacing w:after="0" w:line="258"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Upon the vesting of and/or lapsing of any other restrictions (i.e., settlement) with respect to each Restricted Stock Unit, the Participant shall be entitled to receive from the Company one share of Common Stock or (if so provided in the applicable Award certificate) an amount of cash equal to the Fair Market Value of one share of Common Stock. The Board may, in its discretion, provide that settlement of Restricted Stock Units shall be deferred, on a mandatory basis or at the election of the Participant in a manner that complies with Section 409A of the Code.</w:t>
      </w:r>
    </w:p>
    <w:p>
      <w:pPr>
        <w:spacing w:after="0" w:line="18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A Participant shall have no voting rights with respect to any Restricted Stock Units.</w:t>
      </w:r>
    </w:p>
    <w:p>
      <w:pPr>
        <w:spacing w:after="0" w:line="2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Award certificate for Restricted Stock Units may provide Participants with the right to</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receive an amount equal to any dividends or other distributions declared and paid on an equal number of outstanding shares of Common Stock</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To the extent provided in the Award certificate, Dividend Equivalents may be credited to an account for the Participant and</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may be settled in cash and/or shares; provided, however, that they shall be subject to the same restrictions on transfer and forfeitability as the</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Restricted Stock Units with respect to which they are credited. In no case shall Dividend Equivalents on Restricted Stock Units be paid before such</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units vest.</w:t>
      </w:r>
    </w:p>
    <w:p>
      <w:pPr>
        <w:spacing w:after="0" w:line="234"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Awards</w:t>
      </w:r>
    </w:p>
    <w:p>
      <w:pPr>
        <w:spacing w:after="0" w:line="225" w:lineRule="exact"/>
        <w:rPr>
          <w:rFonts w:ascii="Times New Roman" w:cs="Times New Roman" w:eastAsia="Times New Roman" w:hAnsi="Times New Roman"/>
          <w:sz w:val="18"/>
          <w:szCs w:val="18"/>
          <w:color w:val="auto"/>
        </w:rPr>
      </w:pPr>
    </w:p>
    <w:p>
      <w:pPr>
        <w:ind w:right="60" w:firstLine="757"/>
        <w:spacing w:after="0" w:line="255" w:lineRule="auto"/>
        <w:tabs>
          <w:tab w:leader="none" w:pos="101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Other Awards of shares of Common Stock, and other Awards that are valued in whole or in part by reference to, or are otherwise based on, shares of Common Stock or other property (“</w:t>
      </w:r>
      <w:r>
        <w:rPr>
          <w:rFonts w:ascii="Times New Roman" w:cs="Times New Roman" w:eastAsia="Times New Roman" w:hAnsi="Times New Roman"/>
          <w:sz w:val="18"/>
          <w:szCs w:val="18"/>
          <w:i w:val="1"/>
          <w:iCs w:val="1"/>
          <w:color w:val="auto"/>
        </w:rPr>
        <w:t>Other Stock-Based-Awards</w:t>
      </w:r>
      <w:r>
        <w:rPr>
          <w:rFonts w:ascii="Times New Roman" w:cs="Times New Roman" w:eastAsia="Times New Roman" w:hAnsi="Times New Roman"/>
          <w:sz w:val="18"/>
          <w:szCs w:val="18"/>
          <w:color w:val="auto"/>
        </w:rPr>
        <w:t>”), may be granted hereunder to Participants. In no case shall Dividend Equivalents with respect to Other Stock-Based Awards be paid before such Awards vest. Such Other Stock-Based Awards shall also be available as a form of payment in the settlement of other Awards granted under this Plan or as payment in lieu of compensation to which a Participant is otherwise entitled.</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 may be paid in shares of Common Stock or cash, as the Board shall determine.</w:t>
      </w:r>
    </w:p>
    <w:p>
      <w:pPr>
        <w:spacing w:after="0" w:line="206" w:lineRule="exact"/>
        <w:rPr>
          <w:rFonts w:ascii="Times New Roman" w:cs="Times New Roman" w:eastAsia="Times New Roman" w:hAnsi="Times New Roman"/>
          <w:sz w:val="18"/>
          <w:szCs w:val="18"/>
          <w:color w:val="auto"/>
        </w:rPr>
      </w:pPr>
    </w:p>
    <w:p>
      <w:pPr>
        <w:ind w:right="100" w:firstLine="757"/>
        <w:spacing w:after="0" w:line="282" w:lineRule="auto"/>
        <w:tabs>
          <w:tab w:leader="none" w:pos="101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Subject to the provisions of this Plan, the Board shall determine the terms and conditions of each Other Stock-Based Award, including any purchase price applicable thereto.</w:t>
      </w:r>
    </w:p>
    <w:p>
      <w:pPr>
        <w:spacing w:after="0" w:line="16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Common Stock and Certain Other Events</w:t>
      </w:r>
    </w:p>
    <w:p>
      <w:pPr>
        <w:spacing w:after="0" w:line="225" w:lineRule="exact"/>
        <w:rPr>
          <w:rFonts w:ascii="Times New Roman" w:cs="Times New Roman" w:eastAsia="Times New Roman" w:hAnsi="Times New Roman"/>
          <w:sz w:val="18"/>
          <w:szCs w:val="18"/>
          <w:color w:val="auto"/>
        </w:rPr>
      </w:pPr>
    </w:p>
    <w:p>
      <w:pPr>
        <w:ind w:right="80" w:firstLine="757"/>
        <w:spacing w:after="0" w:line="258" w:lineRule="auto"/>
        <w:tabs>
          <w:tab w:leader="none" w:pos="101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share counting rules set forth in Section 4(a, (iii) the number and class of securities and exercise price per share of each outstanding Option, (iv) the share and per-share provisions and the measurement price of each outstanding SAR, (v) the number of shares subject to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4" w:name="page35"/>
    <w:bookmarkEnd w:id="34"/>
    <w:p>
      <w:pPr>
        <w:ind w:left="860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repurchase price per share subject to each outstanding Restricted Stock Award and (vi) the share and per-share-related provisions and the purchase price, if any, of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92" w:lineRule="exact"/>
        <w:rPr>
          <w:sz w:val="20"/>
          <w:szCs w:val="20"/>
          <w:color w:val="auto"/>
        </w:rPr>
      </w:pPr>
    </w:p>
    <w:p>
      <w:pPr>
        <w:ind w:left="1540" w:hanging="499"/>
        <w:spacing w:after="0"/>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80" w:right="20" w:firstLine="1962"/>
        <w:spacing w:after="0" w:line="261"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i w:val="1"/>
          <w:iCs w:val="1"/>
          <w:color w:val="auto"/>
        </w:rPr>
        <w:t>Reorganization Event</w:t>
      </w:r>
      <w:r>
        <w:rPr>
          <w:rFonts w:ascii="Times New Roman" w:cs="Times New Roman" w:eastAsia="Times New Roman" w:hAnsi="Times New Roman"/>
          <w:sz w:val="18"/>
          <w:szCs w:val="18"/>
          <w:color w:val="auto"/>
        </w:rPr>
        <w:t>”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spacing w:after="0" w:line="20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Consequences of a Reorganization Event on Awards Other than 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80" w:right="40" w:firstLine="2623"/>
        <w:spacing w:after="0" w:line="252" w:lineRule="auto"/>
        <w:tabs>
          <w:tab w:leader="none" w:pos="35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certificate or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Times New Roman" w:cs="Times New Roman" w:eastAsia="Times New Roman" w:hAnsi="Times New Roman"/>
          <w:sz w:val="18"/>
          <w:szCs w:val="18"/>
          <w:i w:val="1"/>
          <w:iCs w:val="1"/>
          <w:color w:val="auto"/>
        </w:rPr>
        <w:t>Acquisition Price</w:t>
      </w:r>
      <w:r>
        <w:rPr>
          <w:rFonts w:ascii="Times New Roman" w:cs="Times New Roman" w:eastAsia="Times New Roman" w:hAnsi="Times New Roman"/>
          <w:sz w:val="18"/>
          <w:szCs w:val="18"/>
          <w:color w:val="auto"/>
        </w:rPr>
        <w:t>”),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9(b)(2), the Board shall not be obligated by this Plan to treat all Awards, all Awards held by a Participant, or all Awards of the same type, identically.</w:t>
      </w:r>
    </w:p>
    <w:p>
      <w:pPr>
        <w:spacing w:after="0" w:line="193" w:lineRule="exact"/>
        <w:rPr>
          <w:rFonts w:ascii="Times New Roman" w:cs="Times New Roman" w:eastAsia="Times New Roman" w:hAnsi="Times New Roman"/>
          <w:sz w:val="18"/>
          <w:szCs w:val="18"/>
          <w:color w:val="auto"/>
        </w:rPr>
      </w:pPr>
    </w:p>
    <w:p>
      <w:pPr>
        <w:ind w:left="380" w:firstLine="2623"/>
        <w:spacing w:after="0" w:line="254" w:lineRule="auto"/>
        <w:tabs>
          <w:tab w:leader="none" w:pos="35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Section 9(b)(2)(A), in the case of outstanding Restricted Stock Units that are subject to Section 409A of the Code: (i) if the applicable Restricted Stock Unit certificate provides that the Restricted Stock Units shall be settled upon a “change in control event” within the meaning of Treasury Regulation Section 1.409A-3(i)(5)(i), and the Reorganization Event constitutes such a “change in control event”, then no assumption or substitution shall be permitted pursuant to clause (i) of Section 9(b)(2)(A) and the Restricted Stock Units shall instead be settled in accordance with the terms of the applicable Restricted Stock Unit certificate; and (ii) the Board may only undertake the actions set forth in clauses (iii), (iv) or (v) of Section 9(b)(2)(A) if the Reorganization Event constitutes a “change in control event” as defined under Treasury Regulation Section 1.409A-3(i)(5)(i) and such action is permitted or required by Section 409A of the Code; if the Reorganization Event is not a “change in control event” as so defined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5" w:name="page36"/>
    <w:bookmarkEnd w:id="35"/>
    <w:p>
      <w:pPr>
        <w:ind w:left="8592"/>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2" w:lineRule="exact"/>
        <w:rPr>
          <w:sz w:val="20"/>
          <w:szCs w:val="20"/>
          <w:color w:val="auto"/>
        </w:rPr>
      </w:pPr>
    </w:p>
    <w:p>
      <w:pPr>
        <w:ind w:left="372" w:right="180"/>
        <w:spacing w:after="0" w:line="266" w:lineRule="auto"/>
        <w:rPr>
          <w:sz w:val="20"/>
          <w:szCs w:val="20"/>
          <w:color w:val="auto"/>
        </w:rPr>
      </w:pPr>
      <w:r>
        <w:rPr>
          <w:rFonts w:ascii="Times New Roman" w:cs="Times New Roman" w:eastAsia="Times New Roman" w:hAnsi="Times New Roman"/>
          <w:sz w:val="18"/>
          <w:szCs w:val="18"/>
          <w:color w:val="auto"/>
        </w:rPr>
        <w:t>action is not permitted or required by Section 409A of the Code, and the acquiring or succeeding corporation does not assume or substitute the Restricted Stock Units pursuant to clause (i) of Section 9(b)(2)(A), then the unvested Restricted Stock Units shall terminate immediately prior to the consummation of the Reorganization Event without any payment in exchange therefor.</w:t>
      </w:r>
    </w:p>
    <w:p>
      <w:pPr>
        <w:spacing w:after="0" w:line="176" w:lineRule="exact"/>
        <w:rPr>
          <w:sz w:val="20"/>
          <w:szCs w:val="20"/>
          <w:color w:val="auto"/>
        </w:rPr>
      </w:pPr>
    </w:p>
    <w:p>
      <w:pPr>
        <w:ind w:left="372" w:right="20" w:firstLine="2623"/>
        <w:spacing w:after="0" w:line="253" w:lineRule="auto"/>
        <w:tabs>
          <w:tab w:leader="none" w:pos="35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clause (i) of Section 9(b)(2)(A),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Reorganization Event.</w:t>
      </w:r>
    </w:p>
    <w:p>
      <w:pPr>
        <w:spacing w:after="0" w:line="192" w:lineRule="exact"/>
        <w:rPr>
          <w:sz w:val="20"/>
          <w:szCs w:val="20"/>
          <w:color w:val="auto"/>
        </w:rPr>
      </w:pPr>
    </w:p>
    <w:p>
      <w:pPr>
        <w:ind w:left="372" w:firstLine="1497"/>
        <w:spacing w:after="0" w:line="254" w:lineRule="auto"/>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Consequences of a Reorganization Event on Restricted Stock</w:t>
      </w:r>
      <w:r>
        <w:rPr>
          <w:rFonts w:ascii="Times New Roman" w:cs="Times New Roman" w:eastAsia="Times New Roman" w:hAnsi="Times New Roman"/>
          <w:sz w:val="18"/>
          <w:szCs w:val="18"/>
          <w:color w:val="auto"/>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Board may provide for termination or deemed satisfaction of such repurchase or other rights under the instrument evidencing any Restricted Stock or any other agreement between a Participant and the Company, either initially or by amendment.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215" w:lineRule="exact"/>
        <w:rPr>
          <w:sz w:val="20"/>
          <w:szCs w:val="20"/>
          <w:color w:val="auto"/>
        </w:rPr>
      </w:pPr>
    </w:p>
    <w:p>
      <w:pPr>
        <w:ind w:left="512" w:hanging="512"/>
        <w:spacing w:after="0"/>
        <w:tabs>
          <w:tab w:leader="none" w:pos="5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 Applicable to Awards</w:t>
      </w:r>
    </w:p>
    <w:p>
      <w:pPr>
        <w:spacing w:after="0" w:line="225" w:lineRule="exact"/>
        <w:rPr>
          <w:rFonts w:ascii="Times New Roman" w:cs="Times New Roman" w:eastAsia="Times New Roman" w:hAnsi="Times New Roman"/>
          <w:sz w:val="18"/>
          <w:szCs w:val="18"/>
          <w:color w:val="auto"/>
        </w:rPr>
      </w:pPr>
    </w:p>
    <w:p>
      <w:pPr>
        <w:ind w:left="-8" w:right="20" w:firstLine="757"/>
        <w:spacing w:after="0" w:line="253" w:lineRule="auto"/>
        <w:tabs>
          <w:tab w:leader="none" w:pos="101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xml:space="preserve">. Awards shall not be sold, assigned, transferred, pledged or otherwise encumbered by the person to whom they are granted, either voluntarily or by operation of law, except by will or the laws of descent and distribution or, other than in the case of an Incentive Stock Option or Awards subject to Section 409A of the Code, pursuant to a qualified domestic relations order, and, during the life of the Participant, shall be exercisable only by the Participant;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except with respect to Awards subject to Section 409A of the Code, that the Board may permit or provide in an Award solely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spacing w:after="0" w:line="191" w:lineRule="exact"/>
        <w:rPr>
          <w:rFonts w:ascii="Times New Roman" w:cs="Times New Roman" w:eastAsia="Times New Roman" w:hAnsi="Times New Roman"/>
          <w:sz w:val="18"/>
          <w:szCs w:val="18"/>
          <w:color w:val="auto"/>
        </w:rPr>
      </w:pPr>
    </w:p>
    <w:p>
      <w:pPr>
        <w:ind w:left="-8" w:right="220" w:firstLine="757"/>
        <w:spacing w:after="0" w:line="282" w:lineRule="auto"/>
        <w:tabs>
          <w:tab w:leader="none" w:pos="101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xml:space="preserve">. Each Award shall be evidenced in such form (written, electronic or otherwise) as the Board shall determine. Each Award may contain terms and conditions in </w:t>
      </w:r>
      <w:r>
        <w:rPr>
          <w:rFonts w:ascii="Times New Roman" w:cs="Times New Roman" w:eastAsia="Times New Roman" w:hAnsi="Times New Roman"/>
          <w:sz w:val="18"/>
          <w:szCs w:val="18"/>
          <w:u w:val="single" w:color="auto"/>
          <w:color w:val="auto"/>
        </w:rPr>
        <w:t>addition</w:t>
      </w:r>
      <w:r>
        <w:rPr>
          <w:rFonts w:ascii="Times New Roman" w:cs="Times New Roman" w:eastAsia="Times New Roman" w:hAnsi="Times New Roman"/>
          <w:sz w:val="18"/>
          <w:szCs w:val="18"/>
          <w:color w:val="auto"/>
        </w:rPr>
        <w:t xml:space="preserve"> to those set forth in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993140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08" w:right="339" w:bottom="1440" w:gutter="0" w:footer="0" w:header="0"/>
        </w:sectPr>
      </w:pPr>
    </w:p>
    <w:bookmarkStart w:id="36" w:name="page37"/>
    <w:bookmarkEnd w:id="36"/>
    <w:p>
      <w:pPr>
        <w:ind w:left="82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2" w:lineRule="exact"/>
        <w:rPr>
          <w:sz w:val="20"/>
          <w:szCs w:val="20"/>
          <w:color w:val="auto"/>
        </w:rPr>
      </w:pPr>
    </w:p>
    <w:p>
      <w:pPr>
        <w:ind w:left="-380" w:right="540" w:firstLine="757"/>
        <w:spacing w:after="0" w:line="282" w:lineRule="auto"/>
        <w:tabs>
          <w:tab w:leader="none" w:pos="6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Discretion</w:t>
      </w:r>
      <w:r>
        <w:rPr>
          <w:rFonts w:ascii="Times New Roman" w:cs="Times New Roman" w:eastAsia="Times New Roman" w:hAnsi="Times New Roman"/>
          <w:sz w:val="18"/>
          <w:szCs w:val="18"/>
          <w:color w:val="auto"/>
        </w:rPr>
        <w:t>. Except as otherwise provided by this Plan, each Award may be made alone or in addition or in relation to any other Award. The terms of each Award need not be identical, and the Board need not treat Participants uniformly.</w:t>
      </w:r>
    </w:p>
    <w:p>
      <w:pPr>
        <w:spacing w:after="0" w:line="161" w:lineRule="exact"/>
        <w:rPr>
          <w:rFonts w:ascii="Times New Roman" w:cs="Times New Roman" w:eastAsia="Times New Roman" w:hAnsi="Times New Roman"/>
          <w:sz w:val="18"/>
          <w:szCs w:val="18"/>
          <w:color w:val="auto"/>
        </w:rPr>
      </w:pPr>
    </w:p>
    <w:p>
      <w:pPr>
        <w:ind w:left="-380" w:firstLine="757"/>
        <w:spacing w:after="0" w:line="261" w:lineRule="auto"/>
        <w:tabs>
          <w:tab w:leader="none" w:pos="6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Board shall determine the effect of the disability, death, termination or other cessation of employment, authorized leave of absence or other change in the employment or other status of a Participant on any Award of the Participant and the extent to which, and the period during which, the Participant, or the Participant’s legal representative, conservator, guardian or Designated Beneficiary, may exercise rights under the Award.</w:t>
      </w:r>
    </w:p>
    <w:p>
      <w:pPr>
        <w:spacing w:after="0" w:line="179" w:lineRule="exact"/>
        <w:rPr>
          <w:rFonts w:ascii="Times New Roman" w:cs="Times New Roman" w:eastAsia="Times New Roman" w:hAnsi="Times New Roman"/>
          <w:sz w:val="18"/>
          <w:szCs w:val="18"/>
          <w:color w:val="auto"/>
        </w:rPr>
      </w:pPr>
    </w:p>
    <w:p>
      <w:pPr>
        <w:ind w:left="-380" w:firstLine="757"/>
        <w:spacing w:after="0" w:line="254" w:lineRule="auto"/>
        <w:tabs>
          <w:tab w:leader="none" w:pos="6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in its sole discretion, a Participant may satisfy such tax obligations in whole or in part by delivery (either by actual delivery or attestation) of shares of Common Stock, including shares retained from the Award creating the tax obligation, valued at their Fair Market Value. Shares used to satisfy tax withholding requirements cannot be subject to any repurchase, forfeiture, unfulfilled vesting or other similar requirements.</w:t>
      </w:r>
    </w:p>
    <w:p>
      <w:pPr>
        <w:spacing w:after="0" w:line="188" w:lineRule="exact"/>
        <w:rPr>
          <w:rFonts w:ascii="Times New Roman" w:cs="Times New Roman" w:eastAsia="Times New Roman" w:hAnsi="Times New Roman"/>
          <w:sz w:val="18"/>
          <w:szCs w:val="18"/>
          <w:color w:val="auto"/>
        </w:rPr>
      </w:pPr>
    </w:p>
    <w:p>
      <w:pPr>
        <w:ind w:left="-380" w:right="40" w:firstLine="757"/>
        <w:spacing w:after="0" w:line="255" w:lineRule="auto"/>
        <w:tabs>
          <w:tab w:leader="none" w:pos="6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w:t>
      </w:r>
      <w:r>
        <w:rPr>
          <w:rFonts w:ascii="Times New Roman" w:cs="Times New Roman" w:eastAsia="Times New Roman" w:hAnsi="Times New Roman"/>
          <w:sz w:val="18"/>
          <w:szCs w:val="18"/>
          <w:color w:val="auto"/>
        </w:rPr>
        <w:t>. Except as set forth in Section 5(g) and 6(e),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this Plan or (ii) the change is permitted under Section 9. In addition, the Board may not take any other action that is considered a direct or indirect “repricing” for purposes of the stockholder approval rules of the applicable securities exchange or inter-dealer quotation system on which the Common Stock is listed, including any other action that is treated as a repricing under generally accepted accounting principles in the United States of America.</w:t>
      </w:r>
    </w:p>
    <w:p>
      <w:pPr>
        <w:spacing w:after="0" w:line="188" w:lineRule="exact"/>
        <w:rPr>
          <w:rFonts w:ascii="Times New Roman" w:cs="Times New Roman" w:eastAsia="Times New Roman" w:hAnsi="Times New Roman"/>
          <w:sz w:val="18"/>
          <w:szCs w:val="18"/>
          <w:color w:val="auto"/>
        </w:rPr>
      </w:pPr>
    </w:p>
    <w:p>
      <w:pPr>
        <w:ind w:left="-380" w:right="400" w:firstLine="757"/>
        <w:spacing w:after="0" w:line="256" w:lineRule="auto"/>
        <w:tabs>
          <w:tab w:leader="none" w:pos="6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of Common Stock pursuant to this Plan or to remove restrictions from shares previously issued or delivered under this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7" w:lineRule="exact"/>
        <w:rPr>
          <w:rFonts w:ascii="Times New Roman" w:cs="Times New Roman" w:eastAsia="Times New Roman" w:hAnsi="Times New Roman"/>
          <w:sz w:val="18"/>
          <w:szCs w:val="18"/>
          <w:color w:val="auto"/>
        </w:rPr>
      </w:pPr>
    </w:p>
    <w:p>
      <w:pPr>
        <w:ind w:left="-380" w:right="100" w:firstLine="757"/>
        <w:spacing w:after="0" w:line="282" w:lineRule="auto"/>
        <w:tabs>
          <w:tab w:leader="none" w:pos="6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Board may at any time provide that any Award shall become immediately exercisable in whole or in part, free of some or all restrictions or conditions, or otherwise realizable in whole or in part, as the case may be.</w:t>
      </w:r>
    </w:p>
    <w:p>
      <w:pPr>
        <w:spacing w:after="0" w:line="188" w:lineRule="exact"/>
        <w:rPr>
          <w:rFonts w:ascii="Times New Roman" w:cs="Times New Roman" w:eastAsia="Times New Roman" w:hAnsi="Times New Roman"/>
          <w:sz w:val="18"/>
          <w:szCs w:val="18"/>
          <w:color w:val="auto"/>
        </w:rPr>
      </w:pPr>
    </w:p>
    <w:p>
      <w:pPr>
        <w:ind w:left="640" w:hanging="263"/>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1962"/>
        <w:spacing w:after="0" w:line="266"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Restricted Stock Awards and Other Stock-Based Awards under this Plan may be made subject to the achievement of performance measures pursuant to this Section 10(i) (“</w:t>
      </w: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Subject to Section 10(i)(4), no Performance Awards shall vest prior to the first anniversary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1002030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08" w:right="339" w:bottom="1440" w:gutter="0" w:footer="0" w:header="0"/>
        </w:sectPr>
      </w:pPr>
    </w:p>
    <w:bookmarkStart w:id="37" w:name="page38"/>
    <w:bookmarkEnd w:id="37"/>
    <w:p>
      <w:pPr>
        <w:ind w:left="860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2" w:lineRule="exact"/>
        <w:rPr>
          <w:sz w:val="20"/>
          <w:szCs w:val="20"/>
          <w:color w:val="auto"/>
        </w:rPr>
      </w:pPr>
    </w:p>
    <w:p>
      <w:pPr>
        <w:ind w:left="380" w:firstLine="1962"/>
        <w:spacing w:after="0" w:line="255" w:lineRule="auto"/>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Performance Measures</w:t>
      </w:r>
      <w:r>
        <w:rPr>
          <w:rFonts w:ascii="Times New Roman" w:cs="Times New Roman" w:eastAsia="Times New Roman" w:hAnsi="Times New Roman"/>
          <w:sz w:val="18"/>
          <w:szCs w:val="18"/>
          <w:color w:val="auto"/>
        </w:rPr>
        <w:t xml:space="preserve">. For any Award that is designed to be a Performance Award, the Committee may specify the degree of granting, vesting and/or payout that shall be subject to the achievement of one or more </w:t>
      </w:r>
      <w:r>
        <w:rPr>
          <w:rFonts w:ascii="Times New Roman" w:cs="Times New Roman" w:eastAsia="Times New Roman" w:hAnsi="Times New Roman"/>
          <w:sz w:val="18"/>
          <w:szCs w:val="18"/>
          <w:u w:val="single" w:color="auto"/>
          <w:color w:val="auto"/>
        </w:rPr>
        <w:t>objective</w:t>
      </w:r>
      <w:r>
        <w:rPr>
          <w:rFonts w:ascii="Times New Roman" w:cs="Times New Roman" w:eastAsia="Times New Roman" w:hAnsi="Times New Roman"/>
          <w:sz w:val="18"/>
          <w:szCs w:val="18"/>
          <w:color w:val="auto"/>
        </w:rPr>
        <w:t xml:space="preserve"> performance measures at, below, or above target measures, as the Committee may determine.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Such performance measures: (i) may vary by Participant and may be different for different Awards; and (ii) may be particular to a Participant or the department, branch, line of business, subsidiary or other unit in which the Participant works and may cover such period as may be specified by the Committee.</w:t>
      </w:r>
    </w:p>
    <w:p>
      <w:pPr>
        <w:spacing w:after="0" w:line="18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The Committee shall have the power to impose such other restrictions on Performance Awards as it may deem</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necessary or appropriate.</w:t>
      </w:r>
    </w:p>
    <w:p>
      <w:pPr>
        <w:spacing w:after="0" w:line="207"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rFonts w:ascii="Times New Roman" w:cs="Times New Roman" w:eastAsia="Times New Roman" w:hAnsi="Times New Roman"/>
          <w:sz w:val="18"/>
          <w:szCs w:val="18"/>
          <w:color w:val="auto"/>
        </w:rPr>
      </w:pPr>
    </w:p>
    <w:p>
      <w:pPr>
        <w:ind w:right="20" w:firstLine="757"/>
        <w:spacing w:after="0" w:line="261" w:lineRule="auto"/>
        <w:tabs>
          <w:tab w:leader="none" w:pos="101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shall have any claim or right to be granted an Award by virtue of the adoption of this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this Plan, except as expressly provided in the applicable Award.</w:t>
      </w:r>
    </w:p>
    <w:p>
      <w:pPr>
        <w:spacing w:after="0" w:line="179" w:lineRule="exact"/>
        <w:rPr>
          <w:rFonts w:ascii="Times New Roman" w:cs="Times New Roman" w:eastAsia="Times New Roman" w:hAnsi="Times New Roman"/>
          <w:sz w:val="18"/>
          <w:szCs w:val="18"/>
          <w:color w:val="auto"/>
        </w:rPr>
      </w:pPr>
    </w:p>
    <w:p>
      <w:pPr>
        <w:ind w:right="40" w:firstLine="757"/>
        <w:spacing w:after="0" w:line="282" w:lineRule="auto"/>
        <w:tabs>
          <w:tab w:leader="none" w:pos="101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148" w:lineRule="exact"/>
        <w:rPr>
          <w:rFonts w:ascii="Times New Roman" w:cs="Times New Roman" w:eastAsia="Times New Roman" w:hAnsi="Times New Roman"/>
          <w:sz w:val="18"/>
          <w:szCs w:val="18"/>
          <w:color w:val="auto"/>
        </w:rPr>
      </w:pPr>
    </w:p>
    <w:p>
      <w:pPr>
        <w:jc w:val="both"/>
        <w:ind w:right="160" w:firstLine="757"/>
        <w:spacing w:after="0" w:line="261" w:lineRule="auto"/>
        <w:tabs>
          <w:tab w:leader="none" w:pos="101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Notwithstanding anything to the contrary in this Plan, the Company may recover from a Participant any compensation received from any Award (whether or not settled) or cause a Participant to forfeit any Award (whether or not vested) to the extent that the Committee or the Board determines that such forfeiture should occur in accordance with any so-called “clawback” or recoupment policy duly adopted by the Board and then in effect.</w:t>
      </w:r>
    </w:p>
    <w:p>
      <w:pPr>
        <w:spacing w:after="0" w:line="17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This Plan shall become effective on the date this Plan is approved by the Company’s stockholders (the</w:t>
      </w:r>
    </w:p>
    <w:p>
      <w:pPr>
        <w:spacing w:after="0" w:line="27"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No Awards shall be granted under this Plan after the expiration of ten (10) years from the Effective Date, but Awards previously granted may extend beyond that date. Any increase in the maximum number of shares that may be issued under this Plan (other than an increase merely reflecting a change in the number of outstanding shares of the Company’s capital stock, such as a stock dividend or stock split) shall be considered the adoption of a new plan requiring stockholder approval under Section 422 of the Code, and any such stockholder approval shall automatically reset the Effective Date to the date of such approval and the term of this Plan shall then be extended thereby until ten (10) years from such date.</w:t>
      </w:r>
    </w:p>
    <w:p>
      <w:pPr>
        <w:spacing w:after="0" w:line="187" w:lineRule="exact"/>
        <w:rPr>
          <w:sz w:val="20"/>
          <w:szCs w:val="20"/>
          <w:color w:val="auto"/>
        </w:rPr>
      </w:pPr>
    </w:p>
    <w:p>
      <w:pPr>
        <w:ind w:firstLine="757"/>
        <w:spacing w:after="0" w:line="253" w:lineRule="auto"/>
        <w:tabs>
          <w:tab w:leader="none" w:pos="10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suspend or terminate this Plan or any portion thereof at any time provided that no amendment that would require stockholder approval under the rules of the NASDAQ Stock Market may be made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implement such modification or amendment without such approval. Unless otherwise specified in the amendment, any amendment to this Plan adopted in accordance with this Section 11(e) shall apply to, and be binding on the holders of, all Awards outstanding under this Plan at the time the amendment is adopted, provided the Board determines that such amendment, taking into account any related action, does not materially and adversely affect the rights of Participants under this Plan. No Award shall be made that is conditioned upon stockholder approval of any amendment to this Plan unless the Award provides that (i) it will terminate or be forfeited if stockholder approval of such amendment is not obtained within no more than 12 months from the date of grant and (ii) it may not be exercised or settled (or otherwise result in the issuance of Common Stock) prior to such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8" w:name="page39"/>
    <w:bookmarkEnd w:id="38"/>
    <w:p>
      <w:pPr>
        <w:ind w:left="860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2" w:lineRule="exact"/>
        <w:rPr>
          <w:sz w:val="20"/>
          <w:szCs w:val="20"/>
          <w:color w:val="auto"/>
        </w:rPr>
      </w:pPr>
    </w:p>
    <w:p>
      <w:pPr>
        <w:ind w:right="40" w:firstLine="757"/>
        <w:spacing w:after="0" w:line="256" w:lineRule="auto"/>
        <w:tabs>
          <w:tab w:leader="none" w:pos="10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Sub-Plans (including for Awards to non-U.S. Employees)</w:t>
      </w:r>
      <w:r>
        <w:rPr>
          <w:rFonts w:ascii="Times New Roman" w:cs="Times New Roman" w:eastAsia="Times New Roman" w:hAnsi="Times New Roman"/>
          <w:sz w:val="18"/>
          <w:szCs w:val="18"/>
          <w:color w:val="auto"/>
        </w:rPr>
        <w:t>. The Board may from time to time establish one or more sub-plans under this Plan for purposes of satisfying applicable securities, tax or other laws of various jurisdictions. The Board shall establish such sub-plans by adopting supplements to this Plan containing (i) such limitations on the Board’s discretion under this Plan as the Board deems necessary or desirable or (ii) such additional terms and conditions not otherwise inconsistent with this Plan as the Board shall deem necessary or desirable. All supplements adopted by the Board shall be deemed to be part of this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87" w:lineRule="exact"/>
        <w:rPr>
          <w:rFonts w:ascii="Times New Roman" w:cs="Times New Roman" w:eastAsia="Times New Roman" w:hAnsi="Times New Roman"/>
          <w:sz w:val="18"/>
          <w:szCs w:val="18"/>
          <w:color w:val="auto"/>
        </w:rPr>
      </w:pPr>
    </w:p>
    <w:p>
      <w:pPr>
        <w:ind w:right="40" w:firstLine="757"/>
        <w:spacing w:after="0" w:line="254" w:lineRule="auto"/>
        <w:tabs>
          <w:tab w:leader="none" w:pos="10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 of the Code</w:t>
      </w:r>
      <w:r>
        <w:rPr>
          <w:rFonts w:ascii="Times New Roman" w:cs="Times New Roman" w:eastAsia="Times New Roman" w:hAnsi="Times New Roman"/>
          <w:sz w:val="18"/>
          <w:szCs w:val="18"/>
          <w:color w:val="auto"/>
        </w:rPr>
        <w:t>. Except as provided in individual Award certificates or agreements initially or by amendment, if and to the extent (i) any portion of any payment, compensation or other benefit provided to a Participant pursuant to this Plan in connection with his or her employment termination constitutes “nonqualified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of the Code) (the “</w:t>
      </w:r>
      <w:r>
        <w:rPr>
          <w:rFonts w:ascii="Times New Roman" w:cs="Times New Roman" w:eastAsia="Times New Roman" w:hAnsi="Times New Roman"/>
          <w:sz w:val="18"/>
          <w:szCs w:val="18"/>
          <w:i w:val="1"/>
          <w:iCs w:val="1"/>
          <w:color w:val="auto"/>
        </w:rPr>
        <w:t>New Payment Date</w:t>
      </w:r>
      <w:r>
        <w:rPr>
          <w:rFonts w:ascii="Times New Roman" w:cs="Times New Roman" w:eastAsia="Times New Roman" w:hAnsi="Times New Roman"/>
          <w:sz w:val="18"/>
          <w:szCs w:val="18"/>
          <w:color w:val="auto"/>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makes no representations or warranty and shall have no liability to the Participant or any other person if any provisions of or payments, compensation or other benefits under this Plan are determined to constitute nonqualified deferred compensation subject to Section 409A of the Code but do not to satisfy the conditions of that section.</w:t>
      </w:r>
    </w:p>
    <w:p>
      <w:pPr>
        <w:spacing w:after="0" w:line="176" w:lineRule="exact"/>
        <w:rPr>
          <w:sz w:val="20"/>
          <w:szCs w:val="20"/>
          <w:color w:val="auto"/>
        </w:rPr>
      </w:pPr>
    </w:p>
    <w:p>
      <w:pPr>
        <w:ind w:right="60" w:firstLine="757"/>
        <w:spacing w:after="0" w:line="254" w:lineRule="auto"/>
        <w:tabs>
          <w:tab w:leader="none" w:pos="10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this Plan, no individual acting as a director, officer, employee or agent of the Company will be liable to any Participant, former Participant, spouse, beneficiary, or any other person for any claim, loss, liability, or expense incurred in connection with this Plan, nor will such individual be personally liable with respect to this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this Plan has been or will be delegated, against any cost or expense (including attorneys’ fees) or liability (including any sum paid in settlement of a claim with the Board’s approval) arising out of any act or omission to act concerning this Plan unless arising out of such person’s own fraud or bad faith to the fullest extent permitted by law and the Company’s certificate of incorporation and bylaws.</w:t>
      </w:r>
    </w:p>
    <w:p>
      <w:pPr>
        <w:spacing w:after="0" w:line="218" w:lineRule="exact"/>
        <w:rPr>
          <w:rFonts w:ascii="Times New Roman" w:cs="Times New Roman" w:eastAsia="Times New Roman" w:hAnsi="Times New Roman"/>
          <w:sz w:val="18"/>
          <w:szCs w:val="18"/>
          <w:color w:val="auto"/>
        </w:rPr>
      </w:pPr>
    </w:p>
    <w:p>
      <w:pPr>
        <w:jc w:val="both"/>
        <w:ind w:right="300" w:firstLine="757"/>
        <w:spacing w:after="0" w:line="266" w:lineRule="auto"/>
        <w:tabs>
          <w:tab w:leader="none" w:pos="10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this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Approved by Board on Nov. 17, 2018, and by stockholders on Feb. 28, 2019;</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Amended by the Board on January 8, 2021 and by stockholders on March 2, 2021;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Amended by the Board on January 7, 2022 and by stockholders on March 3, 2022;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Amended by the Board on January 13, 2023 and by stockholders on March 2, 2023;</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Amended by the Board on January 16, 2024 and by stockholders on March 6, 2024</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Amended by the Board on December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1160145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9" w:name="page40"/>
    <w:bookmarkEnd w:id="39"/>
    <w:p>
      <w:pPr>
        <w:ind w:left="860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2024 Inducement Stock Incentive Plan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amended through December 20, 2024)</w:t>
      </w:r>
    </w:p>
    <w:p>
      <w:pPr>
        <w:spacing w:after="0" w:line="315"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p>
    <w:p>
      <w:pPr>
        <w:spacing w:after="0" w:line="11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purpose of this 2024 Inducement Stock Incentive Plan (this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of Enanta Pharmaceuticals,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 to advance the interests of the Company’s stockholders by enhancing the Company’s ability to attract persons who are expected to make important contributions to the Company by providing them equity ownership opportunities and performance-based incentives that are intended to provide them a material inducement to enter into employment with the Company and better align the interests of such persons with those of the Company’s stockholders. Except where the context otherwise requires, the term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shall include any of the Company’s present or future parent or subsidiary corporations as defined in Sections 424(e) or (f) of the Internal Revenue Code of 1986, as amended, and any regulations thereunder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and any other business venture (including, without limitation, joint venture or limited liability company) in which the Company has a controlling interest, as determined by the Board of Directors of the Company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p>
    <w:p>
      <w:pPr>
        <w:spacing w:after="0" w:line="2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Awards under this Plan may only be granted to persons who (a) were not previously an employee or director of the Company or (b) are commencing employment with the Company following a bona fide period of non-employment, in either case as an inducement material to the individual’s entering into employment with the Company and in accordance with the requirements of Nasdaq Stock Market Rule 5635(c)(4). For the avoidance of doubt, neither consultants, advisors nor non-employee directors shall be eligible to participate in this Plan. Each person who is granted an Award under this Plan is deemed a “</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This Plan provides for the following types of awards, each of which is referred to as an “</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Options (as defined in Section 5), SARs (as defined in Section 6), Restricted Stock (as defined in Section 7), Restricted Stock Units (as defined in Section 7) and Other Stock-Based Awards (as defined in Section 8).</w:t>
      </w:r>
    </w:p>
    <w:p>
      <w:pPr>
        <w:spacing w:after="0" w:line="188"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and Delegation</w:t>
      </w:r>
    </w:p>
    <w:p>
      <w:pPr>
        <w:spacing w:after="0" w:line="225" w:lineRule="exact"/>
        <w:rPr>
          <w:rFonts w:ascii="Times New Roman" w:cs="Times New Roman" w:eastAsia="Times New Roman" w:hAnsi="Times New Roman"/>
          <w:sz w:val="18"/>
          <w:szCs w:val="18"/>
          <w:color w:val="auto"/>
        </w:rPr>
      </w:pPr>
    </w:p>
    <w:p>
      <w:pPr>
        <w:ind w:right="20" w:firstLine="477"/>
        <w:spacing w:after="0" w:line="255" w:lineRule="auto"/>
        <w:tabs>
          <w:tab w:leader="none" w:pos="84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by Board of Directors</w:t>
      </w:r>
      <w:r>
        <w:rPr>
          <w:rFonts w:ascii="Times New Roman" w:cs="Times New Roman" w:eastAsia="Times New Roman" w:hAnsi="Times New Roman"/>
          <w:sz w:val="18"/>
          <w:szCs w:val="18"/>
          <w:color w:val="auto"/>
        </w:rPr>
        <w:t>. This Plan will be administered by the Board in accordance with applicable securities exchange requirements. The Board shall have authority to grant Awards and to adopt, amend and repeal such administrative rules, guidelines and practices relating to this Plan as it shall deem advisable. The Board may construe and interpret the terms of this Plan and any Award certificate issued or Award agreement entered into under this Plan. The Board may correct any defect, supply any omission or reconcile any inconsistency in this Plan or any Award in the manner and to the extent it shall deem expedient, and it shall be the sole and final judge of such expediency. All decisions by the Board with respect to this Plan and any Awards shall be made in the Board’s sole discretion and shall be final and binding on all persons having or claiming any interest in this Plan or in any Award.</w:t>
      </w:r>
    </w:p>
    <w:p>
      <w:pPr>
        <w:spacing w:after="0" w:line="188" w:lineRule="exact"/>
        <w:rPr>
          <w:rFonts w:ascii="Times New Roman" w:cs="Times New Roman" w:eastAsia="Times New Roman" w:hAnsi="Times New Roman"/>
          <w:sz w:val="18"/>
          <w:szCs w:val="18"/>
          <w:color w:val="auto"/>
        </w:rPr>
      </w:pPr>
    </w:p>
    <w:p>
      <w:pPr>
        <w:ind w:right="420" w:firstLine="477"/>
        <w:spacing w:after="0" w:line="261" w:lineRule="auto"/>
        <w:tabs>
          <w:tab w:leader="none" w:pos="85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permitted by applicable law and applicable securities exchange requirements, the Board may delegate any or all of its powers under this Plan to one or more committees or subcommittees comprised only of independent directors of the Board (a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All references in this Plan to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shall mean the Board or a Committee of the Board to the extent that the Board’s powers or authority under this Plan have been delegated to such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0" w:name="page41"/>
    <w:bookmarkEnd w:id="40"/>
    <w:p>
      <w:pPr>
        <w:ind w:left="312" w:hanging="312"/>
        <w:spacing w:after="0"/>
        <w:tabs>
          <w:tab w:leader="none" w:pos="31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Available for Awards</w:t>
      </w:r>
    </w:p>
    <w:p>
      <w:pPr>
        <w:spacing w:after="0" w:line="117" w:lineRule="exact"/>
        <w:rPr>
          <w:rFonts w:ascii="Times New Roman" w:cs="Times New Roman" w:eastAsia="Times New Roman" w:hAnsi="Times New Roman"/>
          <w:sz w:val="18"/>
          <w:szCs w:val="18"/>
          <w:color w:val="auto"/>
        </w:rPr>
      </w:pPr>
    </w:p>
    <w:p>
      <w:pPr>
        <w:ind w:left="892" w:hanging="383"/>
        <w:spacing w:after="0"/>
        <w:tabs>
          <w:tab w:leader="none" w:pos="8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Share Counting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12" w:right="140" w:firstLine="1652"/>
        <w:spacing w:after="0" w:line="266" w:lineRule="auto"/>
        <w:tabs>
          <w:tab w:leader="none" w:pos="2556" w:val="left"/>
        </w:tabs>
        <w:numPr>
          <w:ilvl w:val="3"/>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Number of Shares</w:t>
      </w:r>
      <w:r>
        <w:rPr>
          <w:rFonts w:ascii="Times New Roman" w:cs="Times New Roman" w:eastAsia="Times New Roman" w:hAnsi="Times New Roman"/>
          <w:sz w:val="18"/>
          <w:szCs w:val="18"/>
          <w:color w:val="auto"/>
        </w:rPr>
        <w:t>. Subject to adjustment under Section 9, Awards may be made under this Plan for up to 500,000 shares of common stock, $0.001 par value per share, of the Company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Shares issued under this Plan may consist in whole or in part of authorized but unissued shares or treasury shares.</w:t>
      </w:r>
    </w:p>
    <w:p>
      <w:pPr>
        <w:spacing w:after="0" w:line="67" w:lineRule="exact"/>
        <w:rPr>
          <w:rFonts w:ascii="Times New Roman" w:cs="Times New Roman" w:eastAsia="Times New Roman" w:hAnsi="Times New Roman"/>
          <w:sz w:val="18"/>
          <w:szCs w:val="18"/>
          <w:color w:val="auto"/>
        </w:rPr>
      </w:pPr>
    </w:p>
    <w:p>
      <w:pPr>
        <w:ind w:left="2052" w:hanging="397"/>
        <w:spacing w:after="0"/>
        <w:tabs>
          <w:tab w:leader="none" w:pos="2052"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Counting</w:t>
      </w:r>
      <w:r>
        <w:rPr>
          <w:rFonts w:ascii="Times New Roman" w:cs="Times New Roman" w:eastAsia="Times New Roman" w:hAnsi="Times New Roman"/>
          <w:sz w:val="18"/>
          <w:szCs w:val="18"/>
          <w:color w:val="auto"/>
        </w:rPr>
        <w:t>. For purposes of counting the number of shares available for the grant of Awards under this Plan:</w:t>
      </w:r>
    </w:p>
    <w:p>
      <w:pPr>
        <w:spacing w:after="0" w:line="117" w:lineRule="exact"/>
        <w:rPr>
          <w:rFonts w:ascii="Times New Roman" w:cs="Times New Roman" w:eastAsia="Times New Roman" w:hAnsi="Times New Roman"/>
          <w:sz w:val="18"/>
          <w:szCs w:val="18"/>
          <w:color w:val="auto"/>
        </w:rPr>
      </w:pPr>
    </w:p>
    <w:p>
      <w:pPr>
        <w:ind w:left="1152" w:right="100" w:firstLine="1648"/>
        <w:spacing w:after="0" w:line="258" w:lineRule="auto"/>
        <w:tabs>
          <w:tab w:leader="none" w:pos="3236" w:val="left"/>
        </w:tabs>
        <w:numPr>
          <w:ilvl w:val="4"/>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shares of Common Stock covered by SARs shall be counted against the number of shares available for the grant of Awards under this Plan;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SARs that may be settled only in cash shall not be so counted and (ii) if the Company grants an SAR in tandem with an Option for the same number of shares of Common Stock and provides that only one such Award may be exercised (a “</w:t>
      </w:r>
      <w:r>
        <w:rPr>
          <w:rFonts w:ascii="Times New Roman" w:cs="Times New Roman" w:eastAsia="Times New Roman" w:hAnsi="Times New Roman"/>
          <w:sz w:val="18"/>
          <w:szCs w:val="18"/>
          <w:i w:val="1"/>
          <w:iCs w:val="1"/>
          <w:color w:val="auto"/>
        </w:rPr>
        <w:t>Tandem SAR</w:t>
      </w:r>
      <w:r>
        <w:rPr>
          <w:rFonts w:ascii="Times New Roman" w:cs="Times New Roman" w:eastAsia="Times New Roman" w:hAnsi="Times New Roman"/>
          <w:sz w:val="18"/>
          <w:szCs w:val="18"/>
          <w:color w:val="auto"/>
        </w:rPr>
        <w:t>”), only the shares covered by the Option, and not the shares covered by the Tandem SAR, shall be so counted, and the expiration of one in connection with the other’s exercise will not restore shares to this Plan;</w:t>
      </w:r>
    </w:p>
    <w:p>
      <w:pPr>
        <w:spacing w:after="0" w:line="75" w:lineRule="exact"/>
        <w:rPr>
          <w:rFonts w:ascii="Times New Roman" w:cs="Times New Roman" w:eastAsia="Times New Roman" w:hAnsi="Times New Roman"/>
          <w:sz w:val="18"/>
          <w:szCs w:val="18"/>
          <w:color w:val="auto"/>
        </w:rPr>
      </w:pPr>
    </w:p>
    <w:p>
      <w:pPr>
        <w:ind w:left="1152" w:firstLine="1648"/>
        <w:spacing w:after="0" w:line="254" w:lineRule="auto"/>
        <w:tabs>
          <w:tab w:leader="none" w:pos="3227" w:val="left"/>
        </w:tabs>
        <w:numPr>
          <w:ilvl w:val="4"/>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Award (i)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could be settled either in cash or in stock actually being settled in cash), the unused Common Stock covered by such Award shall become available for the grant of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(1) in the case of the exercise of an SAR, the number of shares counted against the shares available under this Plan shall be the full number of shares subject to the SAR multiplied by the percentage of the SAR actually exercised, regardless of the number of shares actually used to settle such SAR upon exercise and (2) the shares covered by a Tandem SAR shall not again become available for grant upon the expiration or termination of such Tandem SAR; and</w:t>
      </w:r>
    </w:p>
    <w:p>
      <w:pPr>
        <w:spacing w:after="0" w:line="83" w:lineRule="exact"/>
        <w:rPr>
          <w:rFonts w:ascii="Times New Roman" w:cs="Times New Roman" w:eastAsia="Times New Roman" w:hAnsi="Times New Roman"/>
          <w:sz w:val="18"/>
          <w:szCs w:val="18"/>
          <w:color w:val="auto"/>
        </w:rPr>
      </w:pPr>
    </w:p>
    <w:p>
      <w:pPr>
        <w:ind w:left="1152" w:right="320" w:firstLine="1648"/>
        <w:spacing w:after="0" w:line="261" w:lineRule="auto"/>
        <w:tabs>
          <w:tab w:leader="none" w:pos="3227" w:val="left"/>
        </w:tabs>
        <w:numPr>
          <w:ilvl w:val="4"/>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delivered (by actual delivery, attestation, or net exercise) to the Company by a Participant to (i) purchase shares of Common Stock upon the exercise of an Award or (ii) satisfy tax withholding obligations (including shares retained from the Award creating the tax obligation) shall be added back to the number of shares available for the future grant of Awards.</w:t>
      </w:r>
    </w:p>
    <w:p>
      <w:pPr>
        <w:spacing w:after="0" w:line="287"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p>
    <w:p>
      <w:pPr>
        <w:spacing w:after="0" w:line="115" w:lineRule="exact"/>
        <w:rPr>
          <w:rFonts w:ascii="Times New Roman" w:cs="Times New Roman" w:eastAsia="Times New Roman" w:hAnsi="Times New Roman"/>
          <w:sz w:val="18"/>
          <w:szCs w:val="18"/>
          <w:color w:val="auto"/>
        </w:rPr>
      </w:pPr>
    </w:p>
    <w:p>
      <w:pPr>
        <w:ind w:left="-8" w:right="80" w:firstLine="517"/>
        <w:spacing w:after="0" w:line="258" w:lineRule="auto"/>
        <w:tabs>
          <w:tab w:leader="none" w:pos="8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options to purchase Common Stock (each, an “</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All Options under this Plan shall be Nonstatutory Stock Options. A “</w:t>
      </w:r>
      <w:r>
        <w:rPr>
          <w:rFonts w:ascii="Times New Roman" w:cs="Times New Roman" w:eastAsia="Times New Roman" w:hAnsi="Times New Roman"/>
          <w:sz w:val="18"/>
          <w:szCs w:val="18"/>
          <w:i w:val="1"/>
          <w:iCs w:val="1"/>
          <w:color w:val="auto"/>
        </w:rPr>
        <w:t>Nonstatutory Stock Option</w:t>
      </w:r>
      <w:r>
        <w:rPr>
          <w:rFonts w:ascii="Times New Roman" w:cs="Times New Roman" w:eastAsia="Times New Roman" w:hAnsi="Times New Roman"/>
          <w:sz w:val="18"/>
          <w:szCs w:val="18"/>
          <w:color w:val="auto"/>
        </w:rPr>
        <w:t>” is an Option which is not intended to be an “incentive stock option” within the meaning of Section 422 of the Code.</w:t>
      </w:r>
    </w:p>
    <w:p>
      <w:pPr>
        <w:spacing w:after="0" w:line="185" w:lineRule="exact"/>
        <w:rPr>
          <w:rFonts w:ascii="Times New Roman" w:cs="Times New Roman" w:eastAsia="Times New Roman" w:hAnsi="Times New Roman"/>
          <w:sz w:val="18"/>
          <w:szCs w:val="18"/>
          <w:color w:val="auto"/>
        </w:rPr>
      </w:pPr>
    </w:p>
    <w:p>
      <w:pPr>
        <w:ind w:left="-8" w:right="60" w:firstLine="517"/>
        <w:spacing w:after="0" w:line="255" w:lineRule="auto"/>
        <w:tabs>
          <w:tab w:leader="none" w:pos="89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Board shall establish the exercise price of each Option and specify the exercise price in the applicable Option certificate. The exercise price shall be not less than 100% of the Fair Market Value per share of Common Stock on the date the Option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approves the grant of an Option with an exercise price to be determined on a future date, the exercise price shall be not less than 100% of the Fair Market Value on such future date. “</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of Common Stock on any given date means the fair market value of Common Stock determined in good faith by the Board; provided, however, that if Common Stock is admitted to quotation on a national securities exchange, the determination shall be made by reference to market quotations. If there are no market quotations for such date, the determination shall be made by reference to the last preceding such date for which there are market quotations.</w:t>
      </w:r>
    </w:p>
    <w:p>
      <w:pPr>
        <w:spacing w:after="0" w:line="8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690245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7" w:right="359" w:bottom="1440" w:gutter="0" w:footer="0" w:header="0"/>
        </w:sectPr>
      </w:pPr>
    </w:p>
    <w:bookmarkStart w:id="41" w:name="page42"/>
    <w:bookmarkEnd w:id="41"/>
    <w:p>
      <w:pPr>
        <w:spacing w:after="0" w:line="194" w:lineRule="exact"/>
        <w:rPr>
          <w:sz w:val="20"/>
          <w:szCs w:val="20"/>
          <w:color w:val="auto"/>
        </w:rPr>
      </w:pPr>
    </w:p>
    <w:p>
      <w:pPr>
        <w:ind w:right="180" w:firstLine="517"/>
        <w:spacing w:after="0" w:line="282" w:lineRule="auto"/>
        <w:tabs>
          <w:tab w:leader="none" w:pos="88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Options</w:t>
      </w:r>
      <w:r>
        <w:rPr>
          <w:rFonts w:ascii="Times New Roman" w:cs="Times New Roman" w:eastAsia="Times New Roman" w:hAnsi="Times New Roman"/>
          <w:sz w:val="18"/>
          <w:szCs w:val="18"/>
          <w:color w:val="auto"/>
        </w:rPr>
        <w:t xml:space="preserve">. Each Option shall be exercisable at such times and subject to such terms and conditions as the Board may specify in the applicable Option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Option will be granted with a term in excess of ten (10) years.</w:t>
      </w:r>
    </w:p>
    <w:p>
      <w:pPr>
        <w:spacing w:after="0" w:line="161" w:lineRule="exact"/>
        <w:rPr>
          <w:rFonts w:ascii="Times New Roman" w:cs="Times New Roman" w:eastAsia="Times New Roman" w:hAnsi="Times New Roman"/>
          <w:sz w:val="18"/>
          <w:szCs w:val="18"/>
          <w:color w:val="auto"/>
        </w:rPr>
      </w:pPr>
    </w:p>
    <w:p>
      <w:pPr>
        <w:ind w:right="140" w:firstLine="517"/>
        <w:spacing w:after="0" w:line="266" w:lineRule="auto"/>
        <w:tabs>
          <w:tab w:leader="none" w:pos="89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w:t>
      </w:r>
      <w:r>
        <w:rPr>
          <w:rFonts w:ascii="Times New Roman" w:cs="Times New Roman" w:eastAsia="Times New Roman" w:hAnsi="Times New Roman"/>
          <w:sz w:val="18"/>
          <w:szCs w:val="18"/>
          <w:color w:val="auto"/>
        </w:rPr>
        <w:t>. Options may be exercised by delivery to the Company of a notice of exercise in a form (which may be electronic) approved by the Company, together with payment in full (in the manner specified in Section 5(e)) of the exercise price for the number of shares for which the Option is exercised. Shares of Common Stock subject to the Option will be delivered by the Company as soon as practicable following exercise.</w:t>
      </w:r>
    </w:p>
    <w:p>
      <w:pPr>
        <w:spacing w:after="0" w:line="17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Common Stock purchased upon the exercise of an Option granted under this Plan shall be paid for as follows:</w:t>
      </w:r>
    </w:p>
    <w:p>
      <w:pPr>
        <w:spacing w:after="0" w:line="117" w:lineRule="exact"/>
        <w:rPr>
          <w:rFonts w:ascii="Times New Roman" w:cs="Times New Roman" w:eastAsia="Times New Roman" w:hAnsi="Times New Roman"/>
          <w:sz w:val="18"/>
          <w:szCs w:val="18"/>
          <w:color w:val="auto"/>
        </w:rPr>
      </w:pPr>
    </w:p>
    <w:p>
      <w:pPr>
        <w:ind w:left="2560" w:hanging="388"/>
        <w:spacing w:after="0"/>
        <w:tabs>
          <w:tab w:leader="none" w:pos="256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by check, payable to the order of the Company;</w:t>
      </w:r>
    </w:p>
    <w:p>
      <w:pPr>
        <w:spacing w:after="0" w:line="117" w:lineRule="exact"/>
        <w:rPr>
          <w:rFonts w:ascii="Times New Roman" w:cs="Times New Roman" w:eastAsia="Times New Roman" w:hAnsi="Times New Roman"/>
          <w:sz w:val="18"/>
          <w:szCs w:val="18"/>
          <w:color w:val="auto"/>
        </w:rPr>
      </w:pPr>
    </w:p>
    <w:p>
      <w:pPr>
        <w:jc w:val="both"/>
        <w:ind w:left="520" w:firstLine="1652"/>
        <w:spacing w:after="0" w:line="258" w:lineRule="auto"/>
        <w:tabs>
          <w:tab w:leader="none" w:pos="256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provided in the applicable Option certificate or approved by the Board, in its sole discretion,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75" w:lineRule="exact"/>
        <w:rPr>
          <w:rFonts w:ascii="Times New Roman" w:cs="Times New Roman" w:eastAsia="Times New Roman" w:hAnsi="Times New Roman"/>
          <w:sz w:val="18"/>
          <w:szCs w:val="18"/>
          <w:color w:val="auto"/>
        </w:rPr>
      </w:pPr>
    </w:p>
    <w:p>
      <w:pPr>
        <w:ind w:left="520" w:right="180" w:firstLine="1652"/>
        <w:spacing w:after="0" w:line="276" w:lineRule="auto"/>
        <w:tabs>
          <w:tab w:leader="none" w:pos="2564" w:val="left"/>
        </w:tabs>
        <w:numPr>
          <w:ilvl w:val="2"/>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provided for in the applicable Option certificate or approved by the Board, in its sole discretion, by delivery (either by actual delivery or attestation) of shares of Common Stock owned by the Participant valued at their Fair Market Value, provided</w:t>
      </w:r>
    </w:p>
    <w:p>
      <w:pPr>
        <w:ind w:left="520" w:right="20" w:hanging="3"/>
        <w:spacing w:after="0" w:line="255" w:lineRule="auto"/>
        <w:tabs>
          <w:tab w:leader="none" w:pos="735"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method of payment is then permitted under applicable law, (ii) such Common Stock, if acquired directly from the Company, was owned by the Participant for such minimum period of time, if any, as may be established by the Board in its sole discretion and (iii) such Common Stock is not subject to any repurchase, forfeiture, unfulfilled vesting or other similar requirements;</w:t>
      </w:r>
    </w:p>
    <w:p>
      <w:pPr>
        <w:spacing w:after="0" w:line="77" w:lineRule="exact"/>
        <w:rPr>
          <w:rFonts w:ascii="Times New Roman" w:cs="Times New Roman" w:eastAsia="Times New Roman" w:hAnsi="Times New Roman"/>
          <w:sz w:val="18"/>
          <w:szCs w:val="18"/>
          <w:color w:val="auto"/>
        </w:rPr>
      </w:pPr>
    </w:p>
    <w:p>
      <w:pPr>
        <w:jc w:val="both"/>
        <w:ind w:left="520" w:firstLine="1652"/>
        <w:spacing w:after="0" w:line="261" w:lineRule="auto"/>
        <w:tabs>
          <w:tab w:leader="none" w:pos="256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provided for in the applicable Option certificate or approved by the Board in its sole discretion,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on the date of exercise;</w:t>
      </w:r>
    </w:p>
    <w:p>
      <w:pPr>
        <w:spacing w:after="0" w:line="71" w:lineRule="exact"/>
        <w:rPr>
          <w:rFonts w:ascii="Times New Roman" w:cs="Times New Roman" w:eastAsia="Times New Roman" w:hAnsi="Times New Roman"/>
          <w:sz w:val="18"/>
          <w:szCs w:val="18"/>
          <w:color w:val="auto"/>
        </w:rPr>
      </w:pPr>
    </w:p>
    <w:p>
      <w:pPr>
        <w:ind w:left="520" w:right="20" w:firstLine="1652"/>
        <w:spacing w:after="0" w:line="282" w:lineRule="auto"/>
        <w:tabs>
          <w:tab w:leader="none" w:pos="256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provided for in the applicable Option certificate or approved by the Board, in its sole discretion, by payment of such other lawful consideration as the Board may determine; or</w:t>
      </w:r>
    </w:p>
    <w:p>
      <w:pPr>
        <w:spacing w:after="0" w:line="53" w:lineRule="exact"/>
        <w:rPr>
          <w:rFonts w:ascii="Times New Roman" w:cs="Times New Roman" w:eastAsia="Times New Roman" w:hAnsi="Times New Roman"/>
          <w:sz w:val="18"/>
          <w:szCs w:val="18"/>
          <w:color w:val="auto"/>
        </w:rPr>
      </w:pPr>
    </w:p>
    <w:p>
      <w:pPr>
        <w:ind w:left="2560" w:hanging="388"/>
        <w:spacing w:after="0"/>
        <w:tabs>
          <w:tab w:leader="none" w:pos="256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above permitted forms of payment.</w:t>
      </w:r>
    </w:p>
    <w:p>
      <w:pPr>
        <w:spacing w:after="0" w:line="225" w:lineRule="exact"/>
        <w:rPr>
          <w:rFonts w:ascii="Times New Roman" w:cs="Times New Roman" w:eastAsia="Times New Roman" w:hAnsi="Times New Roman"/>
          <w:sz w:val="18"/>
          <w:szCs w:val="18"/>
          <w:color w:val="auto"/>
        </w:rPr>
      </w:pPr>
    </w:p>
    <w:p>
      <w:pPr>
        <w:ind w:left="880" w:hanging="363"/>
        <w:spacing w:after="0"/>
        <w:tabs>
          <w:tab w:leader="none" w:pos="8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stockholders, the Company may not (except as provided for under</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(1) amend any outstanding Option granted under this Plan to provide an exercise price per share that is lower than the then-current exercise price per share of such outstanding Option, (2) cancel any outstanding option (whether or not granted under this Plan) and grant in substitution therefor new Awards under this Plan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or (4) take any other action under this Plan that constitutes a “repricing” within the meaning of the rules of the Nasdaq Stock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w:t>
      </w:r>
    </w:p>
    <w:p>
      <w:pPr>
        <w:spacing w:after="0" w:line="29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p>
    <w:p>
      <w:pPr>
        <w:spacing w:after="0" w:line="115" w:lineRule="exact"/>
        <w:rPr>
          <w:rFonts w:ascii="Times New Roman" w:cs="Times New Roman" w:eastAsia="Times New Roman" w:hAnsi="Times New Roman"/>
          <w:sz w:val="18"/>
          <w:szCs w:val="18"/>
          <w:color w:val="auto"/>
        </w:rPr>
      </w:pPr>
    </w:p>
    <w:p>
      <w:pPr>
        <w:ind w:right="140" w:firstLine="517"/>
        <w:spacing w:after="0" w:line="261" w:lineRule="auto"/>
        <w:tabs>
          <w:tab w:leader="none" w:pos="88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consisting of stock appreciation rights (“</w:t>
      </w: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entitling the holder, upon exercise, to receive an amount of Common Stock or cash or a combination thereof (such form to be determined by the Board) determined by reference to appreciation, from and after the date of grant, in the Fair Market Value of a share of Common Stock over the measurement price established pursuant to Section 6(b). The date as of which such appreciation is determined shall be the exercise date.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ind w:right="40" w:firstLine="517"/>
        <w:spacing w:after="0" w:line="266" w:lineRule="auto"/>
        <w:tabs>
          <w:tab w:leader="none" w:pos="89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Measurement Price</w:t>
      </w:r>
      <w:r>
        <w:rPr>
          <w:rFonts w:ascii="Times New Roman" w:cs="Times New Roman" w:eastAsia="Times New Roman" w:hAnsi="Times New Roman"/>
          <w:sz w:val="18"/>
          <w:szCs w:val="18"/>
          <w:color w:val="auto"/>
        </w:rPr>
        <w:t xml:space="preserve">. The Board shall establish the measurement price of each SAR and specify it in the applicable SAR certificate. The measurement price shall not be less than 100% of the Fair Market Value on the date the SAR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Board approves the grant of an SAR effective as of a future date, the measurement price shall be not less than 100% of the Fair Market Value on such future date.</w:t>
      </w:r>
    </w:p>
    <w:p>
      <w:pPr>
        <w:spacing w:after="0" w:line="175" w:lineRule="exact"/>
        <w:rPr>
          <w:rFonts w:ascii="Times New Roman" w:cs="Times New Roman" w:eastAsia="Times New Roman" w:hAnsi="Times New Roman"/>
          <w:sz w:val="18"/>
          <w:szCs w:val="18"/>
          <w:color w:val="auto"/>
        </w:rPr>
      </w:pPr>
    </w:p>
    <w:p>
      <w:pPr>
        <w:ind w:right="480" w:firstLine="517"/>
        <w:spacing w:after="0" w:line="282" w:lineRule="auto"/>
        <w:tabs>
          <w:tab w:leader="none" w:pos="88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SARs</w:t>
      </w:r>
      <w:r>
        <w:rPr>
          <w:rFonts w:ascii="Times New Roman" w:cs="Times New Roman" w:eastAsia="Times New Roman" w:hAnsi="Times New Roman"/>
          <w:sz w:val="18"/>
          <w:szCs w:val="18"/>
          <w:color w:val="auto"/>
        </w:rPr>
        <w:t xml:space="preserve">. Each SAR shall be exercisable at such times and subject to such terms and conditions as the Board may specify in the applicable SAR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SAR will be granted with a term in excess of 10 years.</w:t>
      </w:r>
    </w:p>
    <w:p>
      <w:pPr>
        <w:spacing w:after="0" w:line="161" w:lineRule="exact"/>
        <w:rPr>
          <w:rFonts w:ascii="Times New Roman" w:cs="Times New Roman" w:eastAsia="Times New Roman" w:hAnsi="Times New Roman"/>
          <w:sz w:val="18"/>
          <w:szCs w:val="18"/>
          <w:color w:val="auto"/>
        </w:rPr>
      </w:pPr>
    </w:p>
    <w:p>
      <w:pPr>
        <w:ind w:right="220" w:firstLine="517"/>
        <w:spacing w:after="0" w:line="282" w:lineRule="auto"/>
        <w:tabs>
          <w:tab w:leader="none" w:pos="89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SARs</w:t>
      </w:r>
      <w:r>
        <w:rPr>
          <w:rFonts w:ascii="Times New Roman" w:cs="Times New Roman" w:eastAsia="Times New Roman" w:hAnsi="Times New Roman"/>
          <w:sz w:val="18"/>
          <w:szCs w:val="18"/>
          <w:color w:val="auto"/>
        </w:rPr>
        <w:t>. SARs may be exercised by delivery to the Company of a notice of exercise in a form (which may be electronic) approved by the Company, together with any other documents required by the Board.</w:t>
      </w:r>
    </w:p>
    <w:p>
      <w:pPr>
        <w:spacing w:after="0" w:line="1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Repricing</w:t>
      </w:r>
      <w:r>
        <w:rPr>
          <w:rFonts w:ascii="Times New Roman" w:cs="Times New Roman" w:eastAsia="Times New Roman" w:hAnsi="Times New Roman"/>
          <w:sz w:val="18"/>
          <w:szCs w:val="18"/>
          <w:color w:val="auto"/>
        </w:rPr>
        <w:t>. Unless such action is approved by the Company’s stockholders, the Company may not (except as provided for under</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(1) amend any outstanding SAR granted under this Plan to provide a measurement price per share that is lower than the then-current measurement price per share of such outstanding SAR, (2) cancel any outstanding SAR (whether or not granted under this Plan) and grant in substitution therefor new Awards under this Plan covering the same or a different number of shares of Common Stock and having an exercise or measurement price per share lower than the then-current measurement price per share of the cancelled SAR, (3) cancel in exchange for a cash payment any outstanding SAR with a measurement price per share above the then-current Fair Market Value or (4) take any other action under this Plan that constitutes a “repricing” within the meaning of the rules of Nasdaq.</w:t>
      </w:r>
    </w:p>
    <w:p>
      <w:pPr>
        <w:spacing w:after="0" w:line="29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Restricted Stock Units</w:t>
      </w:r>
    </w:p>
    <w:p>
      <w:pPr>
        <w:spacing w:after="0" w:line="155" w:lineRule="exact"/>
        <w:rPr>
          <w:rFonts w:ascii="Times New Roman" w:cs="Times New Roman" w:eastAsia="Times New Roman" w:hAnsi="Times New Roman"/>
          <w:sz w:val="18"/>
          <w:szCs w:val="18"/>
          <w:color w:val="auto"/>
        </w:rPr>
      </w:pPr>
    </w:p>
    <w:p>
      <w:pPr>
        <w:ind w:right="20" w:firstLine="517"/>
        <w:spacing w:after="0" w:line="257" w:lineRule="auto"/>
        <w:tabs>
          <w:tab w:leader="none" w:pos="88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entitling recipients to acquire shares of Common Stock (“</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subject to the right of the Company to repurchase (in accordance with applicable law and the Award agreement)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w:t>
      </w: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(Restricted Stock and Restricted Stock Units are each referred to herein as a “</w:t>
      </w:r>
      <w:r>
        <w:rPr>
          <w:rFonts w:ascii="Times New Roman" w:cs="Times New Roman" w:eastAsia="Times New Roman" w:hAnsi="Times New Roman"/>
          <w:sz w:val="18"/>
          <w:szCs w:val="18"/>
          <w:i w:val="1"/>
          <w:iCs w:val="1"/>
          <w:color w:val="auto"/>
        </w:rPr>
        <w:t>Restricted Stock Award</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420" w:firstLine="517"/>
        <w:spacing w:after="0" w:line="282" w:lineRule="auto"/>
        <w:tabs>
          <w:tab w:leader="none" w:pos="89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for All Restricted Stock Awards</w:t>
      </w:r>
      <w:r>
        <w:rPr>
          <w:rFonts w:ascii="Times New Roman" w:cs="Times New Roman" w:eastAsia="Times New Roman" w:hAnsi="Times New Roman"/>
          <w:sz w:val="18"/>
          <w:szCs w:val="18"/>
          <w:color w:val="auto"/>
        </w:rPr>
        <w:t>. The Board shall determine the terms and conditions of a Restricted Stock Award, including the conditions for vesting and repurchase (or forfeiture) and the issue price, if any.</w:t>
      </w:r>
    </w:p>
    <w:p>
      <w:pPr>
        <w:spacing w:after="0" w:line="1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20" w:right="20" w:firstLine="1652"/>
        <w:spacing w:after="0" w:line="256" w:lineRule="auto"/>
        <w:tabs>
          <w:tab w:leader="none" w:pos="2564"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Unless otherwise provided in the applicable Award agreement, any dividends (whether paid in cash, stock or property) declared and paid by the Company with respect to shares of Restricted Stock (“</w:t>
      </w:r>
      <w:r>
        <w:rPr>
          <w:rFonts w:ascii="Times New Roman" w:cs="Times New Roman" w:eastAsia="Times New Roman" w:hAnsi="Times New Roman"/>
          <w:sz w:val="18"/>
          <w:szCs w:val="18"/>
          <w:i w:val="1"/>
          <w:iCs w:val="1"/>
          <w:color w:val="auto"/>
        </w:rPr>
        <w:t>Accrued Dividends</w:t>
      </w:r>
      <w:r>
        <w:rPr>
          <w:rFonts w:ascii="Times New Roman" w:cs="Times New Roman" w:eastAsia="Times New Roman" w:hAnsi="Times New Roman"/>
          <w:sz w:val="18"/>
          <w:szCs w:val="18"/>
          <w:color w:val="auto"/>
        </w:rPr>
        <w:t>”) shall be paid to the Participant only if and when such shares become free from the restrictions on transferability and forfeitability that apply to such shares. Each payment of Accrued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w:t>
      </w:r>
    </w:p>
    <w:p>
      <w:pPr>
        <w:spacing w:after="0" w:line="79" w:lineRule="exact"/>
        <w:rPr>
          <w:rFonts w:ascii="Times New Roman" w:cs="Times New Roman" w:eastAsia="Times New Roman" w:hAnsi="Times New Roman"/>
          <w:sz w:val="18"/>
          <w:szCs w:val="18"/>
          <w:color w:val="auto"/>
        </w:rPr>
      </w:pPr>
    </w:p>
    <w:p>
      <w:pPr>
        <w:ind w:left="520" w:firstLine="1652"/>
        <w:spacing w:after="0" w:line="256" w:lineRule="auto"/>
        <w:tabs>
          <w:tab w:leader="none" w:pos="2564"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Company may require that stock transfer restrictions be implemented by the Company’s transfer agent with respect to shares of Restricted Stock, and that dividends or distributions paid on such Restricted Stock, shall be deposited in escrow with the Company (or its designee) by the Participant, together with a stock power endorsed in blank. At the expiration of the applicable restriction periods, the Company (or such designee) shall instruct the Company’s transfer agent to remove the restrictions on transfer regarding the applicable shares no longer subject to such restrictions and deliver them to the Participant, or if the Participant has died, to his or her Designated Beneficiary in accordance with appropriate instructions for electronic delivery of uncertificated shares. “</w:t>
      </w:r>
      <w:r>
        <w:rPr>
          <w:rFonts w:ascii="Times New Roman" w:cs="Times New Roman" w:eastAsia="Times New Roman" w:hAnsi="Times New Roman"/>
          <w:sz w:val="18"/>
          <w:szCs w:val="18"/>
          <w:i w:val="1"/>
          <w:iCs w:val="1"/>
          <w:color w:val="auto"/>
        </w:rPr>
        <w:t>Designated Beneficiary</w:t>
      </w:r>
      <w:r>
        <w:rPr>
          <w:rFonts w:ascii="Times New Roman" w:cs="Times New Roman" w:eastAsia="Times New Roman" w:hAnsi="Times New Roman"/>
          <w:sz w:val="18"/>
          <w:szCs w:val="18"/>
          <w:color w:val="auto"/>
        </w:rPr>
        <w:t>” means (i)</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ind w:left="512" w:right="40"/>
        <w:spacing w:after="0" w:line="282" w:lineRule="auto"/>
        <w:rPr>
          <w:sz w:val="20"/>
          <w:szCs w:val="20"/>
          <w:color w:val="auto"/>
        </w:rPr>
      </w:pPr>
      <w:r>
        <w:rPr>
          <w:rFonts w:ascii="Times New Roman" w:cs="Times New Roman" w:eastAsia="Times New Roman" w:hAnsi="Times New Roman"/>
          <w:sz w:val="18"/>
          <w:szCs w:val="18"/>
          <w:color w:val="auto"/>
        </w:rPr>
        <w:t>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spacing w:after="0" w:line="378" w:lineRule="exact"/>
        <w:rPr>
          <w:sz w:val="20"/>
          <w:szCs w:val="20"/>
          <w:color w:val="auto"/>
        </w:rPr>
      </w:pPr>
    </w:p>
    <w:p>
      <w:pPr>
        <w:ind w:left="892" w:hanging="383"/>
        <w:spacing w:after="0"/>
        <w:tabs>
          <w:tab w:leader="none" w:pos="89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Stock Units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12" w:right="20" w:firstLine="1652"/>
        <w:spacing w:after="0" w:line="256" w:lineRule="auto"/>
        <w:tabs>
          <w:tab w:leader="none" w:pos="2556"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Upon the vesting of and/or lapsing of any other restrictions (i.e., settlement) with respect to each Restricted Stock Unit, the Participant shall be entitled to receive from the Company such number of shares of Common Stock or (if so provided in the applicable Award certificate or otherwise determined by the Board) an amount of cash equal to the Fair Market Value of such number of shares of Common Stock as are set forth in the applicable Restricted Stock Unit agreement, or a combination thereof. The Board may, in its discretion, provide that settlement of Restricted Stock Units shall be deferred, on a mandatory basis or at the election of the Participant in a manner that complies with Section 409A of the Code (“</w:t>
      </w: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2552" w:hanging="388"/>
        <w:spacing w:after="0"/>
        <w:tabs>
          <w:tab w:leader="none" w:pos="2552"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A Participant shall have no voting rights with respect to any Restricted Stock Units.</w:t>
      </w:r>
    </w:p>
    <w:p>
      <w:pPr>
        <w:spacing w:after="0" w:line="117" w:lineRule="exact"/>
        <w:rPr>
          <w:rFonts w:ascii="Times New Roman" w:cs="Times New Roman" w:eastAsia="Times New Roman" w:hAnsi="Times New Roman"/>
          <w:sz w:val="18"/>
          <w:szCs w:val="18"/>
          <w:color w:val="auto"/>
        </w:rPr>
      </w:pPr>
    </w:p>
    <w:p>
      <w:pPr>
        <w:ind w:left="512" w:right="40" w:firstLine="1652"/>
        <w:spacing w:after="0" w:line="256" w:lineRule="auto"/>
        <w:tabs>
          <w:tab w:leader="none" w:pos="2556"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Award certificate for Restricted Stock Units may provide Participants with the right to receive an amount equal to any dividends or other distributions declared and paid on an equal number of outstanding shares of Common Stock (“</w:t>
      </w:r>
      <w:r>
        <w:rPr>
          <w:rFonts w:ascii="Times New Roman" w:cs="Times New Roman" w:eastAsia="Times New Roman" w:hAnsi="Times New Roman"/>
          <w:sz w:val="18"/>
          <w:szCs w:val="18"/>
          <w:i w:val="1"/>
          <w:iCs w:val="1"/>
          <w:color w:val="auto"/>
        </w:rPr>
        <w:t>Dividend Equivalents</w:t>
      </w:r>
      <w:r>
        <w:rPr>
          <w:rFonts w:ascii="Times New Roman" w:cs="Times New Roman" w:eastAsia="Times New Roman" w:hAnsi="Times New Roman"/>
          <w:sz w:val="18"/>
          <w:szCs w:val="18"/>
          <w:color w:val="auto"/>
        </w:rPr>
        <w:t>”). To the extent provided in the Award certificate, Dividend Equivalents may be credited to an account for the Participant and may be settled in cash and/or shares; provided, however, that they shall be subject to the same restrictions on transfer and forfeitability as the Restricted Stock Units with respect to which they are credited. In no case shall Dividend Equivalents on Restricted Stock Units be paid before such units vest.</w:t>
      </w:r>
    </w:p>
    <w:p>
      <w:pPr>
        <w:spacing w:after="0" w:line="295"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Awards</w:t>
      </w:r>
    </w:p>
    <w:p>
      <w:pPr>
        <w:spacing w:after="0" w:line="117" w:lineRule="exact"/>
        <w:rPr>
          <w:rFonts w:ascii="Times New Roman" w:cs="Times New Roman" w:eastAsia="Times New Roman" w:hAnsi="Times New Roman"/>
          <w:sz w:val="18"/>
          <w:szCs w:val="18"/>
          <w:color w:val="auto"/>
        </w:rPr>
      </w:pPr>
    </w:p>
    <w:p>
      <w:pPr>
        <w:ind w:left="-8" w:right="180" w:firstLine="517"/>
        <w:spacing w:after="0" w:line="281" w:lineRule="auto"/>
        <w:tabs>
          <w:tab w:leader="none" w:pos="88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Other Awards of shares of Common Stock, and other Awards that are valued in whole or in part by reference to, or are otherwise based on, shares of Common Stock or other property (“</w:t>
      </w:r>
      <w:r>
        <w:rPr>
          <w:rFonts w:ascii="Times New Roman" w:cs="Times New Roman" w:eastAsia="Times New Roman" w:hAnsi="Times New Roman"/>
          <w:sz w:val="17"/>
          <w:szCs w:val="17"/>
          <w:i w:val="1"/>
          <w:iCs w:val="1"/>
          <w:color w:val="auto"/>
        </w:rPr>
        <w:t>Other Stock-Based Awards</w:t>
      </w:r>
      <w:r>
        <w:rPr>
          <w:rFonts w:ascii="Times New Roman" w:cs="Times New Roman" w:eastAsia="Times New Roman" w:hAnsi="Times New Roman"/>
          <w:sz w:val="17"/>
          <w:szCs w:val="17"/>
          <w:color w:val="auto"/>
        </w:rPr>
        <w:t>”), may be granted hereunder to Participants. Such Other Stock-Based Awards shall also be available as a form of payment in the settlement of other Awards granted under this Plan or as payment in lieu of compensation to which a Participant is otherwise entitled. Other Stock-Based Awards may be paid in shares of Common Stock or cash, as the Board shall determine.</w:t>
      </w:r>
    </w:p>
    <w:p>
      <w:pPr>
        <w:spacing w:after="0" w:line="164" w:lineRule="exact"/>
        <w:rPr>
          <w:rFonts w:ascii="Times New Roman" w:cs="Times New Roman" w:eastAsia="Times New Roman" w:hAnsi="Times New Roman"/>
          <w:sz w:val="17"/>
          <w:szCs w:val="17"/>
          <w:color w:val="auto"/>
        </w:rPr>
      </w:pPr>
    </w:p>
    <w:p>
      <w:pPr>
        <w:ind w:left="-8" w:right="180" w:firstLine="517"/>
        <w:spacing w:after="0" w:line="282" w:lineRule="auto"/>
        <w:tabs>
          <w:tab w:leader="none" w:pos="89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w:t>
      </w:r>
      <w:r>
        <w:rPr>
          <w:rFonts w:ascii="Times New Roman" w:cs="Times New Roman" w:eastAsia="Times New Roman" w:hAnsi="Times New Roman"/>
          <w:sz w:val="18"/>
          <w:szCs w:val="18"/>
          <w:color w:val="auto"/>
        </w:rPr>
        <w:t>. Subject to the provisions of this Plan, the Board shall determine the terms and conditions of each Other Stock-Based Award, including any purchase price applicable thereto.</w:t>
      </w:r>
    </w:p>
    <w:p>
      <w:pPr>
        <w:spacing w:after="0" w:line="269"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Common Stock and Certain Other Events</w:t>
      </w:r>
    </w:p>
    <w:p>
      <w:pPr>
        <w:spacing w:after="0" w:line="117" w:lineRule="exact"/>
        <w:rPr>
          <w:rFonts w:ascii="Times New Roman" w:cs="Times New Roman" w:eastAsia="Times New Roman" w:hAnsi="Times New Roman"/>
          <w:sz w:val="18"/>
          <w:szCs w:val="18"/>
          <w:color w:val="auto"/>
        </w:rPr>
      </w:pPr>
    </w:p>
    <w:p>
      <w:pPr>
        <w:ind w:left="-8" w:firstLine="517"/>
        <w:spacing w:after="0" w:line="253" w:lineRule="auto"/>
        <w:tabs>
          <w:tab w:leader="none" w:pos="8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share counting rules set forth in Section 4(a,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Restricted Stock Award and (vi) the share and per-share-related provisions and the purchase price, if any, of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8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690245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440" w:right="419" w:bottom="1440" w:gutter="0" w:footer="0" w:header="0"/>
        </w:sectPr>
      </w:pPr>
    </w:p>
    <w:bookmarkStart w:id="44" w:name="page45"/>
    <w:bookmarkEnd w:id="44"/>
    <w:p>
      <w:pPr>
        <w:spacing w:after="0" w:line="302" w:lineRule="exact"/>
        <w:rPr>
          <w:sz w:val="20"/>
          <w:szCs w:val="20"/>
          <w:color w:val="auto"/>
        </w:rPr>
      </w:pPr>
    </w:p>
    <w:p>
      <w:pPr>
        <w:ind w:left="900" w:hanging="394"/>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Events</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right="20" w:firstLine="1652"/>
        <w:spacing w:after="0" w:line="261" w:lineRule="auto"/>
        <w:tabs>
          <w:tab w:leader="none" w:pos="204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i w:val="1"/>
          <w:iCs w:val="1"/>
          <w:color w:val="auto"/>
        </w:rPr>
        <w:t>Reorganization Event</w:t>
      </w:r>
      <w:r>
        <w:rPr>
          <w:rFonts w:ascii="Times New Roman" w:cs="Times New Roman" w:eastAsia="Times New Roman" w:hAnsi="Times New Roman"/>
          <w:sz w:val="18"/>
          <w:szCs w:val="18"/>
          <w:color w:val="auto"/>
        </w:rPr>
        <w:t>”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spacing w:after="0" w:line="73" w:lineRule="exact"/>
        <w:rPr>
          <w:rFonts w:ascii="Times New Roman" w:cs="Times New Roman" w:eastAsia="Times New Roman" w:hAnsi="Times New Roman"/>
          <w:sz w:val="18"/>
          <w:szCs w:val="18"/>
          <w:color w:val="auto"/>
        </w:rPr>
      </w:pPr>
    </w:p>
    <w:p>
      <w:pPr>
        <w:ind w:left="2040" w:hanging="388"/>
        <w:spacing w:after="0"/>
        <w:tabs>
          <w:tab w:leader="none" w:pos="20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a Reorganization Event on Awards Other than Restricted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2288"/>
        <w:spacing w:after="0" w:line="252" w:lineRule="auto"/>
        <w:tabs>
          <w:tab w:leader="none" w:pos="2721"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certificate or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unexercised Awards (whether vested or unvested)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Times New Roman" w:cs="Times New Roman" w:eastAsia="Times New Roman" w:hAnsi="Times New Roman"/>
          <w:sz w:val="18"/>
          <w:szCs w:val="18"/>
          <w:i w:val="1"/>
          <w:iCs w:val="1"/>
          <w:color w:val="auto"/>
        </w:rPr>
        <w:t>Acquisition Price</w:t>
      </w:r>
      <w:r>
        <w:rPr>
          <w:rFonts w:ascii="Times New Roman" w:cs="Times New Roman" w:eastAsia="Times New Roman" w:hAnsi="Times New Roman"/>
          <w:sz w:val="18"/>
          <w:szCs w:val="18"/>
          <w:color w:val="auto"/>
        </w:rPr>
        <w:t>”),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9(b)(2), the Board shall not be obligated by this Plan to treat all Awards, all Awards held by a Participant, or all Awards of the same type, identically.</w:t>
      </w:r>
    </w:p>
    <w:p>
      <w:pPr>
        <w:spacing w:after="0" w:line="85" w:lineRule="exact"/>
        <w:rPr>
          <w:rFonts w:ascii="Times New Roman" w:cs="Times New Roman" w:eastAsia="Times New Roman" w:hAnsi="Times New Roman"/>
          <w:sz w:val="18"/>
          <w:szCs w:val="18"/>
          <w:color w:val="auto"/>
        </w:rPr>
      </w:pPr>
    </w:p>
    <w:p>
      <w:pPr>
        <w:ind w:right="80" w:firstLine="2288"/>
        <w:spacing w:after="0" w:line="253" w:lineRule="auto"/>
        <w:tabs>
          <w:tab w:leader="none" w:pos="2711"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Section 9(b)(2)(A), in the case of outstanding Restricted Stock Units that are subject to Section 409A of the Code: (i) if the applicable Restricted Stock Unit certificate provides that the Restricted Stock Units shall be settled upon a “change in control event” within the meaning of Treasury Regulation Section 1.409A-3(i)(5)(i), and the Reorganization Event constitutes such a “change in control event”, then no assumption or substitution shall be permitted pursuant to Section 9(b)(2)(A)(i) and the Restricted Stock Units shall instead be settled in accordance with the terms of the applicable Restricted Stock Unit certificate; and (ii) the Board may only undertake the actions set forth in clauses (iii), (iv) or (v) of Section 9(b)(2)(A) if the Reorganization Event constitutes a “change in control event” as defined under Treasury Regulation Section 1.409A-3(i)(5)(i)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 Restricted Stock Units pursuant to clause (i) of Section 9(b)(2)(A), then the unvested Restricted Stock Units shall terminate immediately prior to the consummation of the Reorganization Event without any payment in exchange therefor.</w:t>
      </w:r>
    </w:p>
    <w:p>
      <w:pPr>
        <w:spacing w:after="0" w:line="83" w:lineRule="exact"/>
        <w:rPr>
          <w:rFonts w:ascii="Times New Roman" w:cs="Times New Roman" w:eastAsia="Times New Roman" w:hAnsi="Times New Roman"/>
          <w:sz w:val="18"/>
          <w:szCs w:val="18"/>
          <w:color w:val="auto"/>
        </w:rPr>
      </w:pPr>
    </w:p>
    <w:p>
      <w:pPr>
        <w:ind w:firstLine="2288"/>
        <w:spacing w:after="0" w:line="255" w:lineRule="auto"/>
        <w:tabs>
          <w:tab w:leader="none" w:pos="2711"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Section 9(b)(2)(A)(i),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consideration received as a result of the Reorganization Event is not solely common stock of the acquiring or</w:t>
      </w:r>
    </w:p>
    <w:p>
      <w:pPr>
        <w:spacing w:after="0" w:line="8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690245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440" w:right="359" w:bottom="1440" w:gutter="0" w:footer="0" w:header="0"/>
        </w:sectPr>
      </w:pPr>
    </w:p>
    <w:bookmarkStart w:id="45" w:name="page46"/>
    <w:bookmarkEnd w:id="45"/>
    <w:p>
      <w:pPr>
        <w:spacing w:after="0" w:line="86" w:lineRule="exact"/>
        <w:rPr>
          <w:sz w:val="20"/>
          <w:szCs w:val="20"/>
          <w:color w:val="auto"/>
        </w:rPr>
      </w:pPr>
    </w:p>
    <w:p>
      <w:pPr>
        <w:ind w:left="512" w:right="60"/>
        <w:spacing w:after="0" w:line="258" w:lineRule="auto"/>
        <w:rPr>
          <w:sz w:val="20"/>
          <w:szCs w:val="20"/>
          <w:color w:val="auto"/>
        </w:rPr>
      </w:pPr>
      <w:r>
        <w:rPr>
          <w:rFonts w:ascii="Times New Roman" w:cs="Times New Roman" w:eastAsia="Times New Roman" w:hAnsi="Times New Roman"/>
          <w:sz w:val="18"/>
          <w:szCs w:val="18"/>
          <w:color w:val="auto"/>
        </w:rPr>
        <w:t>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spacing w:after="0" w:line="75" w:lineRule="exact"/>
        <w:rPr>
          <w:sz w:val="20"/>
          <w:szCs w:val="20"/>
          <w:color w:val="auto"/>
        </w:rPr>
      </w:pPr>
    </w:p>
    <w:p>
      <w:pPr>
        <w:ind w:left="512" w:right="60" w:firstLine="1652"/>
        <w:spacing w:after="0" w:line="254" w:lineRule="auto"/>
        <w:tabs>
          <w:tab w:leader="none" w:pos="2556"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a Reorganization Event on Restricted Stock</w:t>
      </w:r>
      <w:r>
        <w:rPr>
          <w:rFonts w:ascii="Times New Roman" w:cs="Times New Roman" w:eastAsia="Times New Roman" w:hAnsi="Times New Roman"/>
          <w:sz w:val="18"/>
          <w:szCs w:val="18"/>
          <w:color w:val="auto"/>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Board may provide for termination or deemed satisfaction of such repurchase or other rights under the instrument evidencing any Restricted Stock or any other agreement between a Participant and the Company, either initially or by amendment.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spacing w:after="0" w:line="296"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 Applicable to Awards</w:t>
      </w:r>
    </w:p>
    <w:p>
      <w:pPr>
        <w:spacing w:after="0" w:line="117" w:lineRule="exact"/>
        <w:rPr>
          <w:rFonts w:ascii="Times New Roman" w:cs="Times New Roman" w:eastAsia="Times New Roman" w:hAnsi="Times New Roman"/>
          <w:sz w:val="18"/>
          <w:szCs w:val="18"/>
          <w:color w:val="auto"/>
        </w:rPr>
      </w:pPr>
    </w:p>
    <w:p>
      <w:pPr>
        <w:ind w:left="-8" w:firstLine="517"/>
        <w:spacing w:after="0" w:line="253" w:lineRule="auto"/>
        <w:tabs>
          <w:tab w:leader="none" w:pos="8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xml:space="preserve">. Awards shall not be sold, assigned, transferred, pledged or otherwise encumbered by the person to whom they are granted, either voluntarily or by operation of law, except by will or the laws of descent and distribution or, pursuant to a qualified domestic relations order, and, during the life of the Participant, shall be exercisable only by the Participant;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of 1933, as amended, for the registration of the sale of the Common Stock subject to such Award to such proposed transferee;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spacing w:after="0" w:line="194" w:lineRule="exact"/>
        <w:rPr>
          <w:rFonts w:ascii="Times New Roman" w:cs="Times New Roman" w:eastAsia="Times New Roman" w:hAnsi="Times New Roman"/>
          <w:sz w:val="18"/>
          <w:szCs w:val="18"/>
          <w:color w:val="auto"/>
        </w:rPr>
      </w:pPr>
    </w:p>
    <w:p>
      <w:pPr>
        <w:ind w:left="-8" w:right="80" w:firstLine="517"/>
        <w:spacing w:after="0" w:line="261" w:lineRule="auto"/>
        <w:tabs>
          <w:tab w:leader="none" w:pos="89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 Press Release</w:t>
      </w:r>
      <w:r>
        <w:rPr>
          <w:rFonts w:ascii="Times New Roman" w:cs="Times New Roman" w:eastAsia="Times New Roman" w:hAnsi="Times New Roman"/>
          <w:sz w:val="18"/>
          <w:szCs w:val="18"/>
          <w:color w:val="auto"/>
        </w:rPr>
        <w:t xml:space="preserve">. Each Award shall be evidenced in such form (written, electronic or otherwise) as the Board shall determine. Each Award may contain terms and conditions in </w:t>
      </w:r>
      <w:r>
        <w:rPr>
          <w:rFonts w:ascii="Times New Roman" w:cs="Times New Roman" w:eastAsia="Times New Roman" w:hAnsi="Times New Roman"/>
          <w:sz w:val="18"/>
          <w:szCs w:val="18"/>
          <w:u w:val="single" w:color="auto"/>
          <w:color w:val="auto"/>
        </w:rPr>
        <w:t>addition</w:t>
      </w:r>
      <w:r>
        <w:rPr>
          <w:rFonts w:ascii="Times New Roman" w:cs="Times New Roman" w:eastAsia="Times New Roman" w:hAnsi="Times New Roman"/>
          <w:sz w:val="18"/>
          <w:szCs w:val="18"/>
          <w:color w:val="auto"/>
        </w:rPr>
        <w:t xml:space="preserve"> to those set forth in this Plan. Promptly following the grant of an Award hereunder, the Company must disclose in a press release the material terms of the grant, the number of shares involved, and, if required by law or the rules of Nasdaq, the identity of the Participant, and each Participant, by accepting the Award, consents to the foregoing.</w:t>
      </w:r>
    </w:p>
    <w:p>
      <w:pPr>
        <w:spacing w:after="0" w:line="179" w:lineRule="exact"/>
        <w:rPr>
          <w:rFonts w:ascii="Times New Roman" w:cs="Times New Roman" w:eastAsia="Times New Roman" w:hAnsi="Times New Roman"/>
          <w:sz w:val="18"/>
          <w:szCs w:val="18"/>
          <w:color w:val="auto"/>
        </w:rPr>
      </w:pPr>
    </w:p>
    <w:p>
      <w:pPr>
        <w:ind w:left="-8" w:right="140" w:firstLine="517"/>
        <w:spacing w:after="0" w:line="282" w:lineRule="auto"/>
        <w:tabs>
          <w:tab w:leader="none" w:pos="8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Discretion</w:t>
      </w:r>
      <w:r>
        <w:rPr>
          <w:rFonts w:ascii="Times New Roman" w:cs="Times New Roman" w:eastAsia="Times New Roman" w:hAnsi="Times New Roman"/>
          <w:sz w:val="18"/>
          <w:szCs w:val="18"/>
          <w:color w:val="auto"/>
        </w:rPr>
        <w:t>. Except as otherwise provided by this Plan, each Award may be made alone or in addition or in relation to any other Award. The terms of each Award need not be identical, and the Board need not treat Participants uniformly.</w:t>
      </w:r>
    </w:p>
    <w:p>
      <w:pPr>
        <w:spacing w:after="0" w:line="161" w:lineRule="exact"/>
        <w:rPr>
          <w:rFonts w:ascii="Times New Roman" w:cs="Times New Roman" w:eastAsia="Times New Roman" w:hAnsi="Times New Roman"/>
          <w:sz w:val="18"/>
          <w:szCs w:val="18"/>
          <w:color w:val="auto"/>
        </w:rPr>
      </w:pPr>
    </w:p>
    <w:p>
      <w:pPr>
        <w:ind w:left="-8" w:right="80" w:firstLine="517"/>
        <w:spacing w:after="0" w:line="261" w:lineRule="auto"/>
        <w:tabs>
          <w:tab w:leader="none" w:pos="89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Board shall determine the effect of the disability, death, termination or other cessation of employment, authorized leave of absence or other change in the employment or other status of a Participant on any Award of the Participant and the extent to which, and the period during which, the Participant, or the Participant’s legal representative, conservator, guardian or Designated Beneficiary, may exercise rights under the Award.</w:t>
      </w:r>
    </w:p>
    <w:p>
      <w:pPr>
        <w:spacing w:after="0" w:line="179" w:lineRule="exact"/>
        <w:rPr>
          <w:rFonts w:ascii="Times New Roman" w:cs="Times New Roman" w:eastAsia="Times New Roman" w:hAnsi="Times New Roman"/>
          <w:sz w:val="18"/>
          <w:szCs w:val="18"/>
          <w:color w:val="auto"/>
        </w:rPr>
      </w:pPr>
    </w:p>
    <w:p>
      <w:pPr>
        <w:ind w:left="-8" w:right="160" w:firstLine="517"/>
        <w:spacing w:after="0" w:line="258" w:lineRule="auto"/>
        <w:tabs>
          <w:tab w:leader="none" w:pos="8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w:t>
      </w:r>
    </w:p>
    <w:p>
      <w:pPr>
        <w:spacing w:after="0" w:line="7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690245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46" w:name="page47"/>
    <w:bookmarkEnd w:id="46"/>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before the Company will issue any shares on exercise, vesting or release from forfeiture of an Award or at the same time as payment of the exercise or purchase price, unless the Company determines otherwise. If provided for in an Award or approved by the Board in its sole discretion, a Participant may satisfy such tax obligations in whole or in part by delivery (either by actual delivery or attestation) of shares of Common Stock, including shares retained from the Award creating the tax obligation, valued at their Fair Market Value. Shares used to satisfy tax withholding requirements cannot be subject to any repurchase, forfeiture, unfulfilled vesting or other similar requirements.</w:t>
      </w:r>
    </w:p>
    <w:p>
      <w:pPr>
        <w:spacing w:after="0" w:line="3" w:lineRule="exact"/>
        <w:rPr>
          <w:sz w:val="20"/>
          <w:szCs w:val="20"/>
          <w:color w:val="auto"/>
        </w:rPr>
      </w:pPr>
    </w:p>
    <w:p>
      <w:pPr>
        <w:ind w:right="180" w:firstLine="517"/>
        <w:spacing w:after="0" w:line="250" w:lineRule="auto"/>
        <w:tabs>
          <w:tab w:leader="none" w:pos="86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w:t>
      </w:r>
      <w:r>
        <w:rPr>
          <w:rFonts w:ascii="Times New Roman" w:cs="Times New Roman" w:eastAsia="Times New Roman" w:hAnsi="Times New Roman"/>
          <w:sz w:val="18"/>
          <w:szCs w:val="18"/>
          <w:color w:val="auto"/>
        </w:rPr>
        <w:t>. Except as set forth in Sections 5(f) and 6(e), the Board may amend, modify or terminate any outstanding Award, including but not limited to, substituting therefor another Award of the same or a different type and changing the date of exercise or realization. The Participant’s consent to such action shall be required unless (i) the Board determines that the action, taking into account any related action, does not materially and adversely affect the Participant’s rights under this Plan or (ii) the change is permitted under Section 9. In addition, the Board may not take any other action that is considered a direct or indirect “repricing” for purposes of the stockholder approval rules of the applicable securities exchange or inter-dealer quotation system on which the Common Stock is listed, including any other action that is treated as a repricing under generally accepted accounting principles in use in the United States of America.</w:t>
      </w:r>
    </w:p>
    <w:p>
      <w:pPr>
        <w:spacing w:after="0" w:line="2" w:lineRule="exact"/>
        <w:rPr>
          <w:rFonts w:ascii="Times New Roman" w:cs="Times New Roman" w:eastAsia="Times New Roman" w:hAnsi="Times New Roman"/>
          <w:sz w:val="18"/>
          <w:szCs w:val="18"/>
          <w:color w:val="auto"/>
        </w:rPr>
      </w:pPr>
    </w:p>
    <w:p>
      <w:pPr>
        <w:ind w:right="420" w:firstLine="517"/>
        <w:spacing w:after="0" w:line="252" w:lineRule="auto"/>
        <w:tabs>
          <w:tab w:leader="none" w:pos="89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of Common Stock pursuant to this Plan or to remove restrictions from shares previously issued or delivered under this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9" w:lineRule="exact"/>
        <w:rPr>
          <w:rFonts w:ascii="Times New Roman" w:cs="Times New Roman" w:eastAsia="Times New Roman" w:hAnsi="Times New Roman"/>
          <w:sz w:val="18"/>
          <w:szCs w:val="18"/>
          <w:color w:val="auto"/>
        </w:rPr>
      </w:pPr>
    </w:p>
    <w:p>
      <w:pPr>
        <w:ind w:firstLine="517"/>
        <w:spacing w:after="0" w:line="282" w:lineRule="auto"/>
        <w:tabs>
          <w:tab w:leader="none" w:pos="89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Board may at any time provide that any Award shall become immediately exercisable in whole or in part, free of some or all restrictions or conditions, or otherwise realizable in whole or in part, as the case may be.</w:t>
      </w:r>
    </w:p>
    <w:p>
      <w:pPr>
        <w:spacing w:after="0" w:line="161" w:lineRule="exact"/>
        <w:rPr>
          <w:rFonts w:ascii="Times New Roman" w:cs="Times New Roman" w:eastAsia="Times New Roman" w:hAnsi="Times New Roman"/>
          <w:sz w:val="18"/>
          <w:szCs w:val="18"/>
          <w:color w:val="auto"/>
        </w:rPr>
      </w:pPr>
    </w:p>
    <w:p>
      <w:pPr>
        <w:ind w:left="860" w:hanging="343"/>
        <w:spacing w:after="0"/>
        <w:tabs>
          <w:tab w:leader="none" w:pos="8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w:t>
      </w:r>
    </w:p>
    <w:p>
      <w:pPr>
        <w:spacing w:after="0" w:line="225" w:lineRule="exact"/>
        <w:rPr>
          <w:sz w:val="20"/>
          <w:szCs w:val="20"/>
          <w:color w:val="auto"/>
        </w:rPr>
      </w:pPr>
    </w:p>
    <w:p>
      <w:pPr>
        <w:ind w:left="520" w:right="720" w:firstLine="1495"/>
        <w:spacing w:after="0" w:line="282" w:lineRule="auto"/>
        <w:tabs>
          <w:tab w:leader="none" w:pos="25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Restricted Stock Awards and Other Stock-Based Awards under this Plan may be made subject to the achievement of performance measures pursuant to this Section 10(i) (“</w:t>
      </w: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80" w:right="80" w:firstLine="1588"/>
        <w:spacing w:after="0" w:line="255" w:lineRule="auto"/>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Performance Measures</w:t>
      </w:r>
      <w:r>
        <w:rPr>
          <w:rFonts w:ascii="Times New Roman" w:cs="Times New Roman" w:eastAsia="Times New Roman" w:hAnsi="Times New Roman"/>
          <w:sz w:val="18"/>
          <w:szCs w:val="18"/>
          <w:color w:val="auto"/>
        </w:rPr>
        <w:t xml:space="preserve">. For any Award that is designed to be a Performance Award, the Board may specify the degree of granting, vesting and/or payout that shall be subject to the achievement of one or more </w:t>
      </w:r>
      <w:r>
        <w:rPr>
          <w:rFonts w:ascii="Times New Roman" w:cs="Times New Roman" w:eastAsia="Times New Roman" w:hAnsi="Times New Roman"/>
          <w:sz w:val="18"/>
          <w:szCs w:val="18"/>
          <w:u w:val="single" w:color="auto"/>
          <w:color w:val="auto"/>
        </w:rPr>
        <w:t>objective</w:t>
      </w:r>
      <w:r>
        <w:rPr>
          <w:rFonts w:ascii="Times New Roman" w:cs="Times New Roman" w:eastAsia="Times New Roman" w:hAnsi="Times New Roman"/>
          <w:sz w:val="18"/>
          <w:szCs w:val="18"/>
          <w:color w:val="auto"/>
        </w:rPr>
        <w:t xml:space="preserve"> performance measures at, below, or above target measures, as the Board may determine. Such goals may reflect absolute entity or business unit performance or a relative comparison to the performance of a peer group of entities or other external measure of the selected performance criteria and may be absolute in their terms or measured against or in relationship to other companies comparably, similarly or otherwise situated. Such performance measures: (i) may vary by Participant and may be different for different Awards; and (ii) may be particular to a Participant or the department, branch, line of business, subsidiary or other unit in which the Participant works and may cover such period as may be specified by the Board.</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The Board shall have the power to impose such other restrictions on Performance Awards as it may deem necessary</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or appropriate.</w:t>
      </w:r>
    </w:p>
    <w:p>
      <w:pPr>
        <w:spacing w:after="0" w:line="9" w:lineRule="exact"/>
        <w:rPr>
          <w:sz w:val="20"/>
          <w:szCs w:val="20"/>
          <w:color w:val="auto"/>
        </w:rPr>
      </w:pPr>
    </w:p>
    <w:p>
      <w:pPr>
        <w:ind w:left="420" w:hanging="412"/>
        <w:spacing w:after="0"/>
        <w:tabs>
          <w:tab w:leader="none" w:pos="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98" w:lineRule="exact"/>
        <w:rPr>
          <w:rFonts w:ascii="Times New Roman" w:cs="Times New Roman" w:eastAsia="Times New Roman" w:hAnsi="Times New Roman"/>
          <w:sz w:val="18"/>
          <w:szCs w:val="18"/>
          <w:color w:val="auto"/>
        </w:rPr>
      </w:pPr>
    </w:p>
    <w:p>
      <w:pPr>
        <w:ind w:right="40" w:firstLine="517"/>
        <w:spacing w:after="0" w:line="261" w:lineRule="auto"/>
        <w:tabs>
          <w:tab w:leader="none" w:pos="88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shall have any claim or right to be granted an Award by virtue of the adoption of this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this Plan, except as expressly provided in the applicable Award.</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194" w:lineRule="exact"/>
        <w:rPr>
          <w:sz w:val="20"/>
          <w:szCs w:val="20"/>
          <w:color w:val="auto"/>
        </w:rPr>
      </w:pPr>
    </w:p>
    <w:p>
      <w:pPr>
        <w:ind w:right="20" w:firstLine="517"/>
        <w:spacing w:after="0" w:line="282" w:lineRule="auto"/>
        <w:tabs>
          <w:tab w:leader="none" w:pos="89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94" w:lineRule="exact"/>
        <w:rPr>
          <w:rFonts w:ascii="Times New Roman" w:cs="Times New Roman" w:eastAsia="Times New Roman" w:hAnsi="Times New Roman"/>
          <w:sz w:val="18"/>
          <w:szCs w:val="18"/>
          <w:color w:val="auto"/>
        </w:rPr>
      </w:pPr>
    </w:p>
    <w:p>
      <w:pPr>
        <w:ind w:right="160" w:firstLine="517"/>
        <w:spacing w:after="0" w:line="261" w:lineRule="auto"/>
        <w:tabs>
          <w:tab w:leader="none" w:pos="88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Notwithstanding anything to the contrary in this Plan, the Company may recover from a Participant any compensation received from any Award (whether or not settled) or cause a Participant to forfeit any Award (whether or not vested) to the extent that the Committee or the Board determines that such forfeiture should occur in accordance with the Company’s Amended and Restated Compensation Clawback Policy (Effective as of October 2, 2023), as amended from time to time, or any other so-called “clawback” or recoupment policy duly adopted by the Board and then in effect.</w:t>
      </w:r>
    </w:p>
    <w:p>
      <w:pPr>
        <w:spacing w:after="0" w:line="96" w:lineRule="exact"/>
        <w:rPr>
          <w:rFonts w:ascii="Times New Roman" w:cs="Times New Roman" w:eastAsia="Times New Roman" w:hAnsi="Times New Roman"/>
          <w:sz w:val="18"/>
          <w:szCs w:val="18"/>
          <w:color w:val="auto"/>
        </w:rPr>
      </w:pPr>
    </w:p>
    <w:p>
      <w:pPr>
        <w:jc w:val="both"/>
        <w:ind w:right="160" w:firstLine="517"/>
        <w:spacing w:after="0" w:line="267" w:lineRule="auto"/>
        <w:tabs>
          <w:tab w:leader="none" w:pos="85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This Plan shall become effective on the date on which it is adopted by the Board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It is expressly intended that approval of the Company’s stockholders not be required as a condition to the effectiveness of this Plan, and this Plan’s provisions shall be interpreted in a manner consistent with such intent for all purposes.</w:t>
      </w:r>
    </w:p>
    <w:p>
      <w:pPr>
        <w:spacing w:after="0" w:line="107" w:lineRule="exact"/>
        <w:rPr>
          <w:rFonts w:ascii="Times New Roman" w:cs="Times New Roman" w:eastAsia="Times New Roman" w:hAnsi="Times New Roman"/>
          <w:sz w:val="18"/>
          <w:szCs w:val="18"/>
          <w:color w:val="auto"/>
        </w:rPr>
      </w:pPr>
    </w:p>
    <w:p>
      <w:pPr>
        <w:ind w:firstLine="517"/>
        <w:spacing w:after="0" w:line="258" w:lineRule="auto"/>
        <w:tabs>
          <w:tab w:leader="none" w:pos="88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suspend or terminate this Plan or any portion thereof at any time provided that no amendment that would require stockholder approval under the rules of Nasdaq may be made effective unless and until the Company’s stockholders approve such amendment. Unless otherwise specified in the amendment, any amendment to this Plan adopted in accordance with this Section 11(d) shall apply to, and be binding on the holders of, all Awards outstanding under this Plan at the time the amendment is adopted, provided the Board determines that such amendment, taking into account any related action, does not materially and adversely affect the rights of Participants under this Plan.</w:t>
      </w:r>
    </w:p>
    <w:p>
      <w:pPr>
        <w:spacing w:after="0" w:line="115" w:lineRule="exact"/>
        <w:rPr>
          <w:rFonts w:ascii="Times New Roman" w:cs="Times New Roman" w:eastAsia="Times New Roman" w:hAnsi="Times New Roman"/>
          <w:sz w:val="18"/>
          <w:szCs w:val="18"/>
          <w:color w:val="auto"/>
        </w:rPr>
      </w:pPr>
    </w:p>
    <w:p>
      <w:pPr>
        <w:ind w:right="40" w:firstLine="517"/>
        <w:spacing w:after="0" w:line="256" w:lineRule="auto"/>
        <w:tabs>
          <w:tab w:leader="none" w:pos="86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Sub-Plans (including for Awards to non-U.S. Employees)</w:t>
      </w:r>
      <w:r>
        <w:rPr>
          <w:rFonts w:ascii="Times New Roman" w:cs="Times New Roman" w:eastAsia="Times New Roman" w:hAnsi="Times New Roman"/>
          <w:sz w:val="18"/>
          <w:szCs w:val="18"/>
          <w:color w:val="auto"/>
        </w:rPr>
        <w:t>. The Board may from time to time establish one or more sub-plans under this Plan for purposes of satisfying applicable securities, tax or other laws of various jurisdictions. The Board shall establish such sub-plans by adopting supplements to this Plan containing (i) such limitations on the Board’s discretion under this Plan as the Board deems necessary or desirable or (ii) such additional terms and conditions not otherwise inconsistent with this Plan as the Board shall deem necessary or desirable. All supplements adopted by the Board shall be deemed to be part of this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06" w:lineRule="exact"/>
        <w:rPr>
          <w:rFonts w:ascii="Times New Roman" w:cs="Times New Roman" w:eastAsia="Times New Roman" w:hAnsi="Times New Roman"/>
          <w:sz w:val="18"/>
          <w:szCs w:val="18"/>
          <w:color w:val="auto"/>
        </w:rPr>
      </w:pPr>
    </w:p>
    <w:p>
      <w:pPr>
        <w:ind w:right="20" w:firstLine="517"/>
        <w:spacing w:after="0" w:line="254" w:lineRule="auto"/>
        <w:tabs>
          <w:tab w:leader="none" w:pos="89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 of the Code</w:t>
      </w:r>
      <w:r>
        <w:rPr>
          <w:rFonts w:ascii="Times New Roman" w:cs="Times New Roman" w:eastAsia="Times New Roman" w:hAnsi="Times New Roman"/>
          <w:sz w:val="18"/>
          <w:szCs w:val="18"/>
          <w:color w:val="auto"/>
        </w:rPr>
        <w:t>. Except as provided in individual Award certificates or agreements initially or by amendment, if and to the extent (i) any portion of any payment, compensation or other benefit provided to a Participant pursuant to this Plan in connection with his or her employment termination constitutes “nonqualified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of the Code) (the “</w:t>
      </w:r>
      <w:r>
        <w:rPr>
          <w:rFonts w:ascii="Times New Roman" w:cs="Times New Roman" w:eastAsia="Times New Roman" w:hAnsi="Times New Roman"/>
          <w:sz w:val="18"/>
          <w:szCs w:val="18"/>
          <w:i w:val="1"/>
          <w:iCs w:val="1"/>
          <w:color w:val="auto"/>
        </w:rPr>
        <w:t>New Payment Date</w:t>
      </w:r>
      <w:r>
        <w:rPr>
          <w:rFonts w:ascii="Times New Roman" w:cs="Times New Roman" w:eastAsia="Times New Roman" w:hAnsi="Times New Roman"/>
          <w:sz w:val="18"/>
          <w:szCs w:val="18"/>
          <w:color w:val="auto"/>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makes no representations or warranty and shall have no liability to the Participant or any other person if any provisions of or payments, compensation or other benefits under this Plan are determined to constitute nonqualified deferred compensation subject to Section 409A of the Code but do not to satisfy the conditions of that section.</w:t>
      </w:r>
    </w:p>
    <w:p>
      <w:pPr>
        <w:spacing w:after="0" w:line="108" w:lineRule="exact"/>
        <w:rPr>
          <w:sz w:val="20"/>
          <w:szCs w:val="20"/>
          <w:color w:val="auto"/>
        </w:rPr>
      </w:pPr>
    </w:p>
    <w:p>
      <w:pPr>
        <w:ind w:right="20" w:firstLine="517"/>
        <w:spacing w:after="0" w:line="256" w:lineRule="auto"/>
        <w:tabs>
          <w:tab w:leader="none" w:pos="89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this Plan, no individual acting as a director, officer, employee or agent of the Company will be liable to any Participant, former Participant, spouse, beneficiary, or any other person for any claim, loss, liability, or expense incurred in connection with this Plan, nor will such individual be personally liable with respect to this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this Plan has been or will be delegated, against any cost or expense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2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(including attorneys’ fees) or liability (including any sum paid in settlement of a claim with the Board’s approval) arising out of any act or omission to act concerning this Plan unless arising out of such person’s own fraud or bad faith to the fullest extent permitted by law and the Company’s certificate of incorporation and bylaws.</w:t>
      </w:r>
    </w:p>
    <w:p>
      <w:pPr>
        <w:spacing w:after="0" w:line="95" w:lineRule="exact"/>
        <w:rPr>
          <w:sz w:val="20"/>
          <w:szCs w:val="20"/>
          <w:color w:val="auto"/>
        </w:rPr>
      </w:pPr>
    </w:p>
    <w:p>
      <w:pPr>
        <w:ind w:right="160" w:firstLine="517"/>
        <w:spacing w:after="0" w:line="266" w:lineRule="auto"/>
        <w:tabs>
          <w:tab w:leader="none" w:pos="8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this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Amended by the Board on December 20, 2024</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R. Luly, Ph.D., certify that:</w:t>
      </w:r>
    </w:p>
    <w:p>
      <w:pPr>
        <w:spacing w:after="0" w:line="117" w:lineRule="exact"/>
        <w:rPr>
          <w:sz w:val="20"/>
          <w:szCs w:val="20"/>
          <w:color w:val="auto"/>
        </w:rPr>
      </w:pPr>
    </w:p>
    <w:p>
      <w:pPr>
        <w:ind w:left="360" w:hanging="352"/>
        <w:spacing w:after="0"/>
        <w:tabs>
          <w:tab w:leader="none" w:pos="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Jay R. Luly, Ph.D.</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Mellett, certify that:</w:t>
      </w:r>
    </w:p>
    <w:p>
      <w:pPr>
        <w:spacing w:after="0" w:line="117" w:lineRule="exact"/>
        <w:rPr>
          <w:sz w:val="20"/>
          <w:szCs w:val="20"/>
          <w:color w:val="auto"/>
        </w:rPr>
      </w:pPr>
    </w:p>
    <w:p>
      <w:pPr>
        <w:ind w:left="360" w:hanging="352"/>
        <w:spacing w:after="0"/>
        <w:tabs>
          <w:tab w:leader="none" w:pos="3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Paul J. Mellett</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December 31, 2024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February 12, 2025</w:t>
            </w:r>
          </w:p>
        </w:tc>
        <w:tc>
          <w:tcPr>
            <w:tcW w:w="28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R. Luly, Ph.D.</w:t>
            </w:r>
          </w:p>
        </w:tc>
      </w:tr>
      <w:tr>
        <w:trPr>
          <w:trHeight w:val="191"/>
        </w:trPr>
        <w:tc>
          <w:tcPr>
            <w:tcW w:w="43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Jay R. Luly, Ph.D.</w:t>
            </w:r>
          </w:p>
        </w:tc>
      </w:tr>
      <w:tr>
        <w:trPr>
          <w:trHeight w:val="234"/>
        </w:trPr>
        <w:tc>
          <w:tcPr>
            <w:tcW w:w="43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5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February 12, 2025</w:t>
            </w:r>
          </w:p>
        </w:tc>
        <w:tc>
          <w:tcPr>
            <w:tcW w:w="28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J. Mellett</w:t>
            </w:r>
          </w:p>
        </w:tc>
      </w:tr>
      <w:tr>
        <w:trPr>
          <w:trHeight w:val="191"/>
        </w:trPr>
        <w:tc>
          <w:tcPr>
            <w:tcW w:w="43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Paul J. Mellett</w:t>
            </w:r>
          </w:p>
        </w:tc>
      </w:tr>
      <w:tr>
        <w:trPr>
          <w:trHeight w:val="234"/>
        </w:trPr>
        <w:tc>
          <w:tcPr>
            <w:tcW w:w="43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and Administrative Officer</w:t>
            </w:r>
          </w:p>
        </w:tc>
      </w:tr>
      <w:tr>
        <w:trPr>
          <w:trHeight w:val="979"/>
        </w:trPr>
        <w:tc>
          <w:tcPr>
            <w:tcW w:w="43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1."/>
      <w:numFmt w:val="decimal"/>
      <w:start w:val="2"/>
    </w:lvl>
  </w:abstractNum>
  <w:abstractNum w:abstractNumId="4">
    <w:nsid w:val="7724C67E"/>
    <w:multiLevelType w:val="hybridMultilevel"/>
    <w:lvl w:ilvl="0">
      <w:lvlJc w:val="left"/>
      <w:lvlText w:val="%1."/>
      <w:numFmt w:val="decimal"/>
      <w:start w:val="3"/>
    </w:lvl>
  </w:abstractNum>
  <w:abstractNum w:abstractNumId="5">
    <w:nsid w:val="5C482A97"/>
    <w:multiLevelType w:val="hybridMultilevel"/>
    <w:lvl w:ilvl="0">
      <w:lvlJc w:val="left"/>
      <w:lvlText w:val="%1."/>
      <w:numFmt w:val="decimal"/>
      <w:start w:val="4"/>
    </w:lvl>
  </w:abstractNum>
  <w:abstractNum w:abstractNumId="6">
    <w:nsid w:val="2463B9EA"/>
    <w:multiLevelType w:val="hybridMultilevel"/>
    <w:lvl w:ilvl="0">
      <w:lvlJc w:val="left"/>
      <w:lvlText w:val="%1."/>
      <w:numFmt w:val="decimal"/>
      <w:start w:val="5"/>
    </w:lvl>
  </w:abstractNum>
  <w:abstractNum w:abstractNumId="7">
    <w:nsid w:val="5E884ADC"/>
    <w:multiLevelType w:val="hybridMultilevel"/>
    <w:lvl w:ilvl="0">
      <w:lvlJc w:val="left"/>
      <w:lvlText w:val="%1."/>
      <w:numFmt w:val="decimal"/>
      <w:start w:val="6"/>
    </w:lvl>
  </w:abstractNum>
  <w:abstractNum w:abstractNumId="8">
    <w:nsid w:val="51EAD36B"/>
    <w:multiLevelType w:val="hybridMultilevel"/>
    <w:lvl w:ilvl="0">
      <w:lvlJc w:val="left"/>
      <w:lvlText w:val="%1."/>
      <w:numFmt w:val="decimal"/>
      <w:start w:val="7"/>
    </w:lvl>
  </w:abstractNum>
  <w:abstractNum w:abstractNumId="9">
    <w:nsid w:val="2D517796"/>
    <w:multiLevelType w:val="hybridMultilevel"/>
    <w:lvl w:ilvl="0">
      <w:lvlJc w:val="left"/>
      <w:lvlText w:val="%1."/>
      <w:numFmt w:val="decimal"/>
      <w:start w:val="8"/>
    </w:lvl>
  </w:abstractNum>
  <w:abstractNum w:abstractNumId="10">
    <w:nsid w:val="580BD78F"/>
    <w:multiLevelType w:val="hybridMultilevel"/>
    <w:lvl w:ilvl="0">
      <w:lvlJc w:val="left"/>
      <w:lvlText w:val="%1."/>
      <w:numFmt w:val="decimal"/>
      <w:start w:val="9"/>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lvl w:ilvl="1">
      <w:lvlJc w:val="left"/>
      <w:lvlText w:val="▪"/>
      <w:numFmt w:val="bullet"/>
      <w:start w:val="1"/>
    </w:lvl>
  </w:abstractNum>
  <w:abstractNum w:abstractNumId="15">
    <w:nsid w:val="2A487CB0"/>
    <w:multiLevelType w:val="hybridMultilevel"/>
    <w:lvl w:ilvl="0">
      <w:lvlJc w:val="left"/>
      <w:lvlText w:val="o"/>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1"/>
      <w:numFmt w:val="decimal"/>
      <w:start w:val="104"/>
    </w:lvl>
  </w:abstractNum>
  <w:abstractNum w:abstractNumId="23">
    <w:nsid w:val="6DE91B18"/>
    <w:multiLevelType w:val="hybridMultilevel"/>
    <w:lvl w:ilvl="0">
      <w:lvlJc w:val="left"/>
      <w:lvlText w:val="%1."/>
      <w:numFmt w:val="decimal"/>
      <w:start w:val="1"/>
    </w:lvl>
  </w:abstractNum>
  <w:abstractNum w:abstractNumId="24">
    <w:nsid w:val="38437FDB"/>
    <w:multiLevelType w:val="hybridMultilevel"/>
    <w:lvl w:ilvl="0">
      <w:lvlJc w:val="left"/>
      <w:lvlText w:val="%1."/>
      <w:numFmt w:val="decimal"/>
      <w:start w:val="2"/>
    </w:lvl>
  </w:abstractNum>
  <w:abstractNum w:abstractNumId="25">
    <w:nsid w:val="7644A45C"/>
    <w:multiLevelType w:val="hybridMultilevel"/>
    <w:lvl w:ilvl="0">
      <w:lvlJc w:val="left"/>
      <w:lvlText w:val="%1."/>
      <w:numFmt w:val="decimal"/>
      <w:start w:val="3"/>
    </w:lvl>
    <w:lvl w:ilvl="1">
      <w:lvlJc w:val="left"/>
      <w:lvlText w:val="(%2)"/>
      <w:numFmt w:val="lowerLetter"/>
      <w:start w:val="1"/>
    </w:lvl>
  </w:abstractNum>
  <w:abstractNum w:abstractNumId="26">
    <w:nsid w:val="32FFF902"/>
    <w:multiLevelType w:val="hybridMultilevel"/>
    <w:lvl w:ilvl="0">
      <w:lvlJc w:val="left"/>
      <w:lvlText w:val="%1."/>
      <w:numFmt w:val="decimal"/>
      <w:start w:val="4"/>
    </w:lvl>
    <w:lvl w:ilvl="1">
      <w:lvlJc w:val="left"/>
      <w:lvlText w:val="(%2)"/>
      <w:numFmt w:val="lowerLetter"/>
      <w:start w:val="1"/>
    </w:lvl>
  </w:abstractNum>
  <w:abstractNum w:abstractNumId="27">
    <w:nsid w:val="684A481A"/>
    <w:multiLevelType w:val="hybridMultilevel"/>
    <w:lvl w:ilvl="0">
      <w:lvlJc w:val="left"/>
      <w:lvlText w:val="(%1)"/>
      <w:numFmt w:val="upperLetter"/>
      <w:start w:val="1"/>
    </w:lvl>
  </w:abstractNum>
  <w:abstractNum w:abstractNumId="28">
    <w:nsid w:val="579478FE"/>
    <w:multiLevelType w:val="hybridMultilevel"/>
    <w:lvl w:ilvl="0">
      <w:lvlJc w:val="left"/>
      <w:lvlText w:val="(%1)"/>
      <w:numFmt w:val="upperLetter"/>
      <w:start w:val="4"/>
    </w:lvl>
    <w:lvl w:ilvl="1">
      <w:lvlJc w:val="left"/>
      <w:lvlText w:val="(%2)"/>
      <w:numFmt w:val="upperLetter"/>
      <w:start w:val="1"/>
    </w:lvl>
  </w:abstractNum>
  <w:abstractNum w:abstractNumId="29">
    <w:nsid w:val="749ABB43"/>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abstractNum>
  <w:abstractNum w:abstractNumId="30">
    <w:nsid w:val="3DC240FB"/>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31">
    <w:nsid w:val="1BA026FA"/>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32">
    <w:nsid w:val="79A1DEAA"/>
    <w:multiLevelType w:val="hybridMultilevel"/>
    <w:lvl w:ilvl="0">
      <w:lvlJc w:val="left"/>
      <w:lvlText w:val="(%1)"/>
      <w:numFmt w:val="lowerLetter"/>
      <w:start w:val="3"/>
    </w:lvl>
  </w:abstractNum>
  <w:abstractNum w:abstractNumId="33">
    <w:nsid w:val="75C6C33A"/>
    <w:multiLevelType w:val="hybridMultilevel"/>
    <w:lvl w:ilvl="0">
      <w:lvlJc w:val="left"/>
      <w:lvlText w:val="(%1)"/>
      <w:numFmt w:val="lowerLetter"/>
      <w:start w:val="4"/>
    </w:lvl>
  </w:abstractNum>
  <w:abstractNum w:abstractNumId="34">
    <w:nsid w:val="12E685FB"/>
    <w:multiLevelType w:val="hybridMultilevel"/>
    <w:lvl w:ilvl="0">
      <w:lvlJc w:val="left"/>
      <w:lvlText w:val="(%1)"/>
      <w:numFmt w:val="lowerLetter"/>
      <w:start w:val="7"/>
    </w:lvl>
  </w:abstractNum>
  <w:abstractNum w:abstractNumId="35">
    <w:nsid w:val="70C6A529"/>
    <w:multiLevelType w:val="hybridMultilevel"/>
    <w:lvl w:ilvl="0">
      <w:lvlJc w:val="left"/>
      <w:lvlText w:val="%1."/>
      <w:numFmt w:val="decimal"/>
      <w:start w:val="6"/>
    </w:lvl>
    <w:lvl w:ilvl="1">
      <w:lvlJc w:val="left"/>
      <w:lvlText w:val="(%2)"/>
      <w:numFmt w:val="lowerLetter"/>
      <w:start w:val="1"/>
    </w:lvl>
  </w:abstractNum>
  <w:abstractNum w:abstractNumId="36">
    <w:nsid w:val="520EEDD1"/>
    <w:multiLevelType w:val="hybridMultilevel"/>
    <w:lvl w:ilvl="0">
      <w:lvlJc w:val="left"/>
      <w:lvlText w:val="(%1)"/>
      <w:numFmt w:val="lowerLetter"/>
      <w:start w:val="4"/>
    </w:lvl>
  </w:abstractNum>
  <w:abstractNum w:abstractNumId="37">
    <w:nsid w:val="374A3FE6"/>
    <w:multiLevelType w:val="hybridMultilevel"/>
    <w:lvl w:ilvl="0">
      <w:lvlJc w:val="left"/>
      <w:lvlText w:val="%1."/>
      <w:numFmt w:val="decimal"/>
      <w:start w:val="8"/>
    </w:lvl>
    <w:lvl w:ilvl="1">
      <w:lvlJc w:val="left"/>
      <w:lvlText w:val="(%2)"/>
      <w:numFmt w:val="lowerLetter"/>
      <w:start w:val="1"/>
    </w:lvl>
  </w:abstractNum>
  <w:abstractNum w:abstractNumId="38">
    <w:nsid w:val="4F4EF005"/>
    <w:multiLevelType w:val="hybridMultilevel"/>
    <w:lvl w:ilvl="0">
      <w:lvlJc w:val="left"/>
      <w:lvlText w:val="(%1)"/>
      <w:numFmt w:val="lowerLetter"/>
      <w:start w:val="2"/>
    </w:lvl>
  </w:abstractNum>
  <w:abstractNum w:abstractNumId="39">
    <w:nsid w:val="23F9C13C"/>
    <w:multiLevelType w:val="hybridMultilevel"/>
    <w:lvl w:ilvl="0">
      <w:lvlJc w:val="left"/>
      <w:lvlText w:val="(%1)"/>
      <w:numFmt w:val="upperLetter"/>
      <w:start w:val="1"/>
    </w:lvl>
  </w:abstractNum>
  <w:abstractNum w:abstractNumId="40">
    <w:nsid w:val="649BB77C"/>
    <w:multiLevelType w:val="hybridMultilevel"/>
    <w:lvl w:ilvl="0">
      <w:lvlJc w:val="left"/>
      <w:lvlText w:val="(%1)"/>
      <w:numFmt w:val="upperLetter"/>
      <w:start w:val="3"/>
    </w:lvl>
  </w:abstractNum>
  <w:abstractNum w:abstractNumId="41">
    <w:nsid w:val="275AC794"/>
    <w:multiLevelType w:val="hybridMultilevel"/>
    <w:lvl w:ilvl="0">
      <w:lvlJc w:val="left"/>
      <w:lvlText w:val="%1."/>
      <w:numFmt w:val="decimal"/>
      <w:start w:val="10"/>
    </w:lvl>
    <w:lvl w:ilvl="1">
      <w:lvlJc w:val="left"/>
      <w:lvlText w:val="(%2)"/>
      <w:numFmt w:val="lowerLetter"/>
      <w:start w:val="1"/>
    </w:lvl>
  </w:abstractNum>
  <w:abstractNum w:abstractNumId="42">
    <w:nsid w:val="39386575"/>
    <w:multiLevelType w:val="hybridMultilevel"/>
    <w:lvl w:ilvl="0">
      <w:lvlJc w:val="left"/>
      <w:lvlText w:val="(%1)"/>
      <w:numFmt w:val="lowerLetter"/>
      <w:start w:val="3"/>
    </w:lvl>
  </w:abstractNum>
  <w:abstractNum w:abstractNumId="43">
    <w:nsid w:val="1CF10FD8"/>
    <w:multiLevelType w:val="hybridMultilevel"/>
    <w:lvl w:ilvl="0">
      <w:lvlJc w:val="left"/>
      <w:lvlText w:val="%1."/>
      <w:numFmt w:val="decimal"/>
      <w:start w:val="11"/>
    </w:lvl>
    <w:lvl w:ilvl="1">
      <w:lvlJc w:val="left"/>
      <w:lvlText w:val="(%2)"/>
      <w:numFmt w:val="lowerLetter"/>
      <w:start w:val="1"/>
    </w:lvl>
  </w:abstractNum>
  <w:abstractNum w:abstractNumId="44">
    <w:nsid w:val="180115BE"/>
    <w:multiLevelType w:val="hybridMultilevel"/>
    <w:lvl w:ilvl="0">
      <w:lvlJc w:val="left"/>
      <w:lvlText w:val="(%1)"/>
      <w:numFmt w:val="lowerLetter"/>
      <w:start w:val="5"/>
    </w:lvl>
  </w:abstractNum>
  <w:abstractNum w:abstractNumId="45">
    <w:nsid w:val="235BA861"/>
    <w:multiLevelType w:val="hybridMultilevel"/>
    <w:lvl w:ilvl="0">
      <w:lvlJc w:val="left"/>
      <w:lvlText w:val="(%1)"/>
      <w:numFmt w:val="lowerLetter"/>
      <w:start w:val="6"/>
    </w:lvl>
  </w:abstractNum>
  <w:abstractNum w:abstractNumId="46">
    <w:nsid w:val="47398C89"/>
    <w:multiLevelType w:val="hybridMultilevel"/>
    <w:lvl w:ilvl="0">
      <w:lvlJc w:val="left"/>
      <w:lvlText w:val="(%1)"/>
      <w:numFmt w:val="lowerLetter"/>
      <w:start w:val="8"/>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decimal"/>
      <w:start w:val="2"/>
    </w:lvl>
  </w:abstractNum>
  <w:abstractNum w:abstractNumId="49">
    <w:nsid w:val="741226BB"/>
    <w:multiLevelType w:val="hybridMultilevel"/>
    <w:lvl w:ilvl="0">
      <w:lvlJc w:val="left"/>
      <w:lvlText w:val="%1."/>
      <w:numFmt w:val="decimal"/>
      <w:start w:val="3"/>
    </w:lvl>
    <w:lvl w:ilvl="1">
      <w:lvlJc w:val="left"/>
      <w:lvlText w:val="(%2)"/>
      <w:numFmt w:val="lowerLetter"/>
      <w:start w:val="1"/>
    </w:lvl>
  </w:abstractNum>
  <w:abstractNum w:abstractNumId="50">
    <w:nsid w:val="D34B6A8"/>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lvl w:ilvl="3">
      <w:lvlJc w:val="left"/>
      <w:lvlText w:val="(%4)"/>
      <w:numFmt w:val="decimal"/>
      <w:start w:val="1"/>
    </w:lvl>
    <w:lvl w:ilvl="4">
      <w:lvlJc w:val="left"/>
      <w:lvlText w:val="(%5)"/>
      <w:numFmt w:val="upperLetter"/>
      <w:start w:val="1"/>
    </w:lvl>
  </w:abstractNum>
  <w:abstractNum w:abstractNumId="51">
    <w:nsid w:val="10233C99"/>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2">
    <w:nsid w:val="3F6AB60F"/>
    <w:multiLevelType w:val="hybridMultilevel"/>
    <w:lvl w:ilvl="0">
      <w:lvlJc w:val="left"/>
      <w:lvlText w:val="%1"/>
      <w:numFmt w:val="decimal"/>
      <w:start w:val="1"/>
    </w:lvl>
    <w:lvl w:ilvl="1">
      <w:lvlJc w:val="left"/>
      <w:lvlText w:val="(%2)"/>
      <w:numFmt w:val="lowerLetter"/>
      <w:start w:val="9"/>
    </w:lvl>
    <w:lvl w:ilvl="2">
      <w:lvlJc w:val="left"/>
      <w:lvlText w:val="(%3)"/>
      <w:numFmt w:val="decimal"/>
      <w:start w:val="4"/>
    </w:lvl>
  </w:abstractNum>
  <w:abstractNum w:abstractNumId="53">
    <w:nsid w:val="61574095"/>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54">
    <w:nsid w:val="7E0C57B1"/>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55">
    <w:nsid w:val="77AE35EB"/>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6">
    <w:nsid w:val="579BE4F1"/>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57">
    <w:nsid w:val="310C50B3"/>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58">
    <w:nsid w:val="5FF87E05"/>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59">
    <w:nsid w:val="2F305DEF"/>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60">
    <w:nsid w:val="25A70BF7"/>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61">
    <w:nsid w:val="1DBABF00"/>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62">
    <w:nsid w:val="4AD084E9"/>
    <w:multiLevelType w:val="hybridMultilevel"/>
    <w:lvl w:ilvl="0">
      <w:lvlJc w:val="left"/>
      <w:lvlText w:val="(%1)"/>
      <w:numFmt w:val="lowerLetter"/>
      <w:start w:val="6"/>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decimal"/>
      <w:start w:val="11"/>
    </w:lvl>
    <w:lvl w:ilvl="1">
      <w:lvlJc w:val="left"/>
      <w:lvlText w:val="(%2)"/>
      <w:numFmt w:val="lowerLetter"/>
      <w:start w:val="1"/>
    </w:lvl>
  </w:abstractNum>
  <w:abstractNum w:abstractNumId="65">
    <w:nsid w:val="5DB70AE5"/>
    <w:multiLevelType w:val="hybridMultilevel"/>
    <w:lvl w:ilvl="0">
      <w:lvlJc w:val="left"/>
      <w:lvlText w:val="(%1)"/>
      <w:numFmt w:val="lowerLetter"/>
      <w:start w:val="2"/>
    </w:lvl>
  </w:abstractNum>
  <w:abstractNum w:abstractNumId="66">
    <w:nsid w:val="100F8FCA"/>
    <w:multiLevelType w:val="hybridMultilevel"/>
    <w:lvl w:ilvl="0">
      <w:lvlJc w:val="left"/>
      <w:lvlText w:val="(%1)"/>
      <w:numFmt w:val="lowerLetter"/>
      <w:start w:val="8"/>
    </w:lvl>
  </w:abstractNum>
  <w:abstractNum w:abstractNumId="67">
    <w:nsid w:val="6590700B"/>
    <w:multiLevelType w:val="hybridMultilevel"/>
    <w:lvl w:ilvl="0">
      <w:lvlJc w:val="left"/>
      <w:lvlText w:val="(%1)"/>
      <w:numFmt w:val="lowerRoman"/>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67" Type="http://schemas.openxmlformats.org/officeDocument/2006/relationships/hyperlink" Target="https://www.sec.gov/Archives/edgar/data/1177648/000119312513132679/d511662dex31.htm" TargetMode="External"/><Relationship Id="rId168" Type="http://schemas.openxmlformats.org/officeDocument/2006/relationships/hyperlink" Target="https://www.sec.gov/Archives/edgar/data/1177648/000119312515294582/d9581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2025-02-12T15:11:38Z</dcterms:created>
  <dcterms:modified xsi:type="dcterms:W3CDTF">2025-02-12T15:11:38Z</dcterms:modified>
</cp:coreProperties>
</file>