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0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right="18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571" w:right="279" w:bottom="1440" w:gutter="0" w:footer="0" w:header="0"/>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57" w:lineRule="exact"/>
        <w:tabs>
          <w:tab w:leader="none" w:pos="5520" w:val="left"/>
          <w:tab w:leader="none" w:pos="7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Unicode MS" w:cs="Arial Unicode MS" w:eastAsia="Arial Unicode MS" w:hAnsi="Arial Unicode MS"/>
          <w:sz w:val="18"/>
          <w:szCs w:val="18"/>
          <w:color w:val="auto"/>
        </w:rPr>
        <w:t>☒</w:t>
      </w:r>
    </w:p>
    <w:p>
      <w:pPr>
        <w:spacing w:after="0" w:line="233" w:lineRule="exact"/>
        <w:tabs>
          <w:tab w:leader="none" w:pos="5520" w:val="left"/>
          <w:tab w:leader="none" w:pos="7980" w:val="left"/>
        </w:tabs>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(Do not check if a small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2">
            <w:col w:w="2220" w:space="720"/>
            <w:col w:w="8440"/>
          </w:cols>
          <w:pgMar w:left="240" w:top="571" w:right="279" w:bottom="1440" w:gutter="0" w:footer="0" w:header="0"/>
          <w:type w:val="continuous"/>
        </w:sectPr>
      </w:pPr>
    </w:p>
    <w:p>
      <w:pPr>
        <w:spacing w:after="0" w:line="9" w:lineRule="exact"/>
        <w:rPr>
          <w:sz w:val="24"/>
          <w:szCs w:val="24"/>
          <w:color w:val="auto"/>
        </w:rPr>
      </w:pPr>
    </w:p>
    <w:p>
      <w:pPr>
        <w:ind w:left="20"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520" w:right="1340"/>
        <w:spacing w:after="0" w:line="29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February 1, 2018, the registrant had 19,160,667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2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0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44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Notes to Consolidated Financial Statements</w:t>
              </w:r>
            </w:hyperlink>
          </w:p>
        </w:tc>
        <w:tc>
          <w:tcPr>
            <w:tcW w:w="61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within the meaning of Section 21E of the Securities Exchange Act of 1934, as amended.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Securities and Exchange Commission (SEC) after the date of this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68,053</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152,389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157,994</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8,049</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70,038</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9"/>
                <w:szCs w:val="19"/>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340,719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20,982</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24,961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19,150 and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19,120 shares issued and outstanding at December 31, 2017 and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30, 2017, respectively</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256,241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301,676</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340,719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23,109</w:t>
            </w:r>
          </w:p>
        </w:tc>
        <w:tc>
          <w:tcPr>
            <w:tcW w:w="3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15,000</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38,109</w:t>
            </w:r>
          </w:p>
        </w:tc>
        <w:tc>
          <w:tcPr>
            <w:tcW w:w="3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17,962</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3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4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23,732</w:t>
            </w:r>
          </w:p>
        </w:tc>
        <w:tc>
          <w:tcPr>
            <w:tcW w:w="3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17,463</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14,377</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928</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3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4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15,337</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 benefit</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(3,644)</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11,693</w:t>
            </w:r>
          </w:p>
        </w:tc>
        <w:tc>
          <w:tcPr>
            <w:tcW w:w="3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19,130</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19,918</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19,038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73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73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FF0FC"/>
            </w:tcBorders>
          </w:tcPr>
          <w:p>
            <w:pPr>
              <w:spacing w:after="0"/>
              <w:rPr>
                <w:sz w:val="13"/>
                <w:szCs w:val="13"/>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38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losses on marketable securities, net of tax of ($107) and ($63)</w:t>
            </w:r>
          </w:p>
        </w:tc>
        <w:tc>
          <w:tcPr>
            <w:tcW w:w="1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(104)</w:t>
            </w: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loss</w:t>
            </w:r>
          </w:p>
        </w:tc>
        <w:tc>
          <w:tcPr>
            <w:tcW w:w="1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Borders>
              <w:bottom w:val="single" w:sz="8" w:color="CFF0FC"/>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380" w:type="dxa"/>
            <w:vAlign w:val="bottom"/>
            <w:tcBorders>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20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6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11,693</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(4,980)</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(1,910)</w:t>
            </w:r>
          </w:p>
        </w:tc>
      </w:tr>
      <w:tr>
        <w:trPr>
          <w:trHeight w:val="230"/>
        </w:trPr>
        <w:tc>
          <w:tcPr>
            <w:tcW w:w="7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benefit from exercise of stock options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ind w:left="500"/>
              <w:spacing w:after="0"/>
              <w:rPr>
                <w:sz w:val="20"/>
                <w:szCs w:val="20"/>
                <w:color w:val="auto"/>
              </w:rPr>
            </w:pPr>
            <w:r>
              <w:rPr>
                <w:rFonts w:ascii="Arial" w:cs="Arial" w:eastAsia="Arial" w:hAnsi="Arial"/>
                <w:sz w:val="18"/>
                <w:szCs w:val="18"/>
                <w:color w:val="auto"/>
              </w:rPr>
              <w:t>Premium on marketable securities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230"/>
        </w:trPr>
        <w:tc>
          <w:tcPr>
            <w:tcW w:w="7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premium on marketable securities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50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(12,495)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(1,290)</w:t>
            </w:r>
          </w:p>
        </w:tc>
      </w:tr>
      <w:tr>
        <w:trPr>
          <w:trHeight w:val="230"/>
        </w:trPr>
        <w:tc>
          <w:tcPr>
            <w:tcW w:w="72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7200" w:type="dxa"/>
            <w:vAlign w:val="bottom"/>
          </w:tcPr>
          <w:p>
            <w:pPr>
              <w:ind w:left="740"/>
              <w:spacing w:after="0"/>
              <w:rPr>
                <w:sz w:val="20"/>
                <w:szCs w:val="20"/>
                <w:color w:val="auto"/>
              </w:rPr>
            </w:pPr>
            <w:r>
              <w:rPr>
                <w:rFonts w:ascii="Arial" w:cs="Arial" w:eastAsia="Arial" w:hAnsi="Arial"/>
                <w:sz w:val="18"/>
                <w:szCs w:val="18"/>
                <w:color w:val="auto"/>
              </w:rPr>
              <w:t>Income taxes payable</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r>
      <w:tr>
        <w:trPr>
          <w:trHeight w:val="223"/>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CFF0FC"/>
            </w:tcBorders>
          </w:tcPr>
          <w:p>
            <w:pPr>
              <w:spacing w:after="0"/>
              <w:rPr>
                <w:sz w:val="19"/>
                <w:szCs w:val="19"/>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(953)</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(54,710)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(73,671)</w:t>
            </w:r>
          </w:p>
        </w:tc>
      </w:tr>
      <w:tr>
        <w:trPr>
          <w:trHeight w:val="230"/>
        </w:trPr>
        <w:tc>
          <w:tcPr>
            <w:tcW w:w="7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maturities and sales of marketable securities</w:t>
            </w:r>
          </w:p>
        </w:tc>
        <w:tc>
          <w:tcPr>
            <w:tcW w:w="6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75,489</w:t>
            </w:r>
          </w:p>
        </w:tc>
        <w:tc>
          <w:tcPr>
            <w:tcW w:w="120" w:type="dxa"/>
            <w:vAlign w:val="bottom"/>
            <w:tcBorders>
              <w:bottom w:val="single" w:sz="8" w:color="CFF0FC"/>
            </w:tcBorders>
          </w:tcPr>
          <w:p>
            <w:pPr>
              <w:spacing w:after="0"/>
              <w:rPr>
                <w:sz w:val="19"/>
                <w:szCs w:val="19"/>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FF0FC"/>
          </w:tcPr>
          <w:p>
            <w:pPr>
              <w:spacing w:after="0"/>
              <w:rPr>
                <w:sz w:val="19"/>
                <w:szCs w:val="19"/>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Payments of capital lease obligations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23"/>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20,618</w:t>
            </w:r>
          </w:p>
        </w:tc>
        <w:tc>
          <w:tcPr>
            <w:tcW w:w="120" w:type="dxa"/>
            <w:vAlign w:val="bottom"/>
            <w:tcBorders>
              <w:bottom w:val="single" w:sz="8" w:color="CFF0FC"/>
            </w:tcBorders>
          </w:tcPr>
          <w:p>
            <w:pPr>
              <w:spacing w:after="0"/>
              <w:rPr>
                <w:sz w:val="19"/>
                <w:szCs w:val="19"/>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16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Enanta Pharmaceuticals, Inc. (the “Company”), incorporated in Delaware in 1995, is a biotechnology company that uses its robust, chemistry-driven approach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drug discovery capabilities to create small molecule drugs primarily for the treatment of viral infections and liver diseases. The Company discovered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glecaprevir, the second of two protease inhibitors discovered and developed through its collaboration with AbbVie and marketed as part of AbbVie’s new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direct-acting antiviral (DAA) regimen under the tradenames MAVYRET™ (U.S.) or MAVIRET™ (ex-U.S.) (glecaprevir/pibrentasvir) for the treatment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chronic hepatitis C virus, or HCV. The other protease inhibitor under its HCV collaboration is part of AbbVie’s initial DAA regimens for the treatment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chronic HCV marketed under the tradenames VIEKIRA PAK</w:t>
      </w:r>
      <w:r>
        <w:rPr>
          <w:rFonts w:ascii="Arial" w:cs="Arial" w:eastAsia="Arial" w:hAnsi="Arial"/>
          <w:sz w:val="15"/>
          <w:szCs w:val="15"/>
          <w:color w:val="auto"/>
        </w:rPr>
        <w:t>®</w:t>
      </w:r>
      <w:r>
        <w:rPr>
          <w:rFonts w:ascii="Arial" w:cs="Arial" w:eastAsia="Arial" w:hAnsi="Arial"/>
          <w:sz w:val="18"/>
          <w:szCs w:val="18"/>
          <w:color w:val="auto"/>
        </w:rPr>
        <w:t xml:space="preserve"> (paritaprevir/ritonavir/ombitasvir/dasabuvir) (U.S.) 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VIEKIRAX</w:t>
      </w:r>
      <w:r>
        <w:rPr>
          <w:rFonts w:ascii="Arial" w:cs="Arial" w:eastAsia="Arial" w:hAnsi="Arial"/>
          <w:sz w:val="14"/>
          <w:szCs w:val="14"/>
          <w:color w:val="auto"/>
        </w:rPr>
        <w:t>®</w:t>
      </w:r>
      <w:r>
        <w:rPr>
          <w:rFonts w:ascii="Arial" w:cs="Arial" w:eastAsia="Arial" w:hAnsi="Arial"/>
          <w:sz w:val="17"/>
          <w:szCs w:val="17"/>
          <w:color w:val="auto"/>
        </w:rPr>
        <w:t>(paritaprevir/ritonavir/ombitasvir) (ex-U.S.). Royalties from the Company’s AbbVie collaboration and its existing financial resources provide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funding to support its wholly owned research and development efforts, which are currently focused on the following disease targets: non-alcoholic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steatohepatitis (“NASH”); primary biliary cholangitis (“PBC”); respiratory syncytial virus (“RSV”) and hepatitis B virus (“HBV”).</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balance sheet at September 30, 2017 was derived from audited financial statements, but does not include all disclosures required by accounting principles generally accepted in the United States of America (“GAAP”). The accompanying unaudited consolidated financial statements as of December 31, 2017 and for the three months ended December 31, 2017 and 2016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2017.</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December 31, 2017 and results of operations for the three months ended December 31, 2017 and 2016 and cash flows for the three months ended December 31, 2017 and 2016, have been made. The results of operations for the three months ended December 31, 2017 are not necessarily indicative of the results of operations that may be expected for subsequent quarters or the year ending September 30, 2018.</w:t>
      </w:r>
    </w:p>
    <w:p>
      <w:pPr>
        <w:spacing w:after="0" w:line="17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accompanying consolidated financial statements have been prepared in conformity with GAAP. All dollar amounts in the consolidated financial statements and in the notes to the consolidated financial statements, except per share amounts, are in thousands unless otherwise indicated.</w:t>
      </w:r>
    </w:p>
    <w:p>
      <w:pPr>
        <w:spacing w:after="0" w:line="22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2017. Other than the adoption of ASU 2016-09 as of October 1, 2017, there were no other significant changes to the Company’s Significant Accounting Policies during the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60"/>
        <w:spacing w:after="0" w:line="257" w:lineRule="auto"/>
        <w:rPr>
          <w:sz w:val="20"/>
          <w:szCs w:val="20"/>
          <w:color w:val="auto"/>
        </w:rPr>
      </w:pPr>
      <w:r>
        <w:rPr>
          <w:rFonts w:ascii="Arial" w:cs="Arial" w:eastAsia="Arial" w:hAnsi="Arial"/>
          <w:sz w:val="18"/>
          <w:szCs w:val="18"/>
          <w:color w:val="auto"/>
        </w:rPr>
        <w:t>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is effective for the Company in the fiscal year beginning October 1, 2017. As a result of the adoption this quarter, the Company changed its forfeiture rate policy to recognize forfeitures as they occur. Upon adoption, the cumulative impact of this change in policy on retained earnings and deferred tax assets in the consolidated balance sheet was not material. In addition, the consolidated statements of cash flows will present excess tax benefits, if any, as part of cash flows from operating activities. The Company elected to adopt this change on a prospective basis and, therefore, excess tax benefits from prior periods in the statement of cash flow were not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6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an 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 new guidance must be adopted using either a modified retrospective approach or a full retrospective approach for all periods presented. Under the modified retrospective method, the cumulative effect of applying the new standard would</w:t>
      </w:r>
    </w:p>
    <w:p>
      <w:pPr>
        <w:spacing w:after="0" w:line="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 recognized at the adoption date in retained earnings on the consolidated balance sheet. Under the full retrospective approach, the new standard would be applied to each prior reporting period presented. These new standards will be effective for the Company beginning October 1, 2018. Currently, the Company has only one revenue-generating contract – the AbbVie Agreement. The Company has completed its substantial performance obligations under the contract and is eligible to earn annually tiered per-product royalties on the portion of AbbVie’s net sales of HCV regimens allocable to the protease inhibitor in the regimen. The Company is in process of determining the method of adoption but under either method, the impact of adoption is not expected to have a material impact on the Company’s consolidated financial statements as presently, the AbbVie Agreement is the only revenue-generating arrangement outstanding, and all performance obligations under the agreement have been achieved.</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Upon adoption, the Company will adjust the presentation of the statement of cash flows to include restricted cash related to an outstanding letter of credit collateralized by a money market fund of $608 so that it is included in the beginning balance of cash and cash equivalents.</w:t>
      </w:r>
    </w:p>
    <w:p>
      <w:pPr>
        <w:spacing w:after="0" w:line="178"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(“ASU 2017-09”) which provides updated guidance about changes to the terms or conditions of a share-based payment award that requires companies to apply modification accounting under Topic 718. This amendment is effective for the Company in the fiscal year beginning October 1, 2018, but early adoption is permissible. The Company does not expect the adoption of ASU 2017-09 to have a material impact on its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2017 and September 30, 2017 and indicate the fair value hierarchy of the valuation inputs utilized to determine such fair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9"/>
          </w:tcPr>
          <w:p>
            <w:pPr>
              <w:jc w:val="right"/>
              <w:ind w:right="105"/>
              <w:spacing w:after="0"/>
              <w:rPr>
                <w:sz w:val="20"/>
                <w:szCs w:val="20"/>
                <w:color w:val="auto"/>
              </w:rPr>
            </w:pPr>
            <w:r>
              <w:rPr>
                <w:rFonts w:ascii="Arial" w:cs="Arial" w:eastAsia="Arial" w:hAnsi="Arial"/>
                <w:sz w:val="14"/>
                <w:szCs w:val="14"/>
                <w:b w:val="1"/>
                <w:bCs w:val="1"/>
                <w:color w:val="auto"/>
              </w:rPr>
              <w:t>Fair Value Measurements at December 31, 2017 Using:</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Level 3</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36,702</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154,286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154,286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3640" w:type="dxa"/>
            <w:vAlign w:val="bottom"/>
            <w:tcBorders>
              <w:bottom w:val="single" w:sz="8" w:color="CFF0FC"/>
            </w:tcBorders>
          </w:tcPr>
          <w:p>
            <w:pPr>
              <w:spacing w:after="0"/>
              <w:rPr>
                <w:sz w:val="22"/>
                <w:szCs w:val="22"/>
                <w:color w:val="auto"/>
              </w:rPr>
            </w:pPr>
          </w:p>
        </w:tc>
        <w:tc>
          <w:tcPr>
            <w:tcW w:w="8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88,400</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192,712</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281,112</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Warrant liability</w:t>
            </w: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13"/>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10"/>
          </w:tcPr>
          <w:p>
            <w:pPr>
              <w:jc w:val="right"/>
              <w:ind w:right="105"/>
              <w:spacing w:after="0"/>
              <w:rPr>
                <w:sz w:val="20"/>
                <w:szCs w:val="20"/>
                <w:color w:val="auto"/>
              </w:rPr>
            </w:pPr>
            <w:r>
              <w:rPr>
                <w:rFonts w:ascii="Arial" w:cs="Arial" w:eastAsia="Arial" w:hAnsi="Arial"/>
                <w:sz w:val="14"/>
                <w:szCs w:val="14"/>
                <w:b w:val="1"/>
                <w:bCs w:val="1"/>
                <w:color w:val="auto"/>
              </w:rPr>
              <w:t>Fair Value Measurements at September 30, 2017 Using:</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1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19,863</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000" w:type="dxa"/>
            <w:vAlign w:val="bottom"/>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60,843</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000" w:type="dxa"/>
            <w:vAlign w:val="bottom"/>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60,843</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000" w:type="dxa"/>
            <w:vAlign w:val="bottom"/>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U.S. Agency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2FC"/>
              <w:bottom w:val="single" w:sz="8" w:color="CFF2FC"/>
            </w:tcBorders>
            <w:shd w:val="clear" w:color="auto" w:fill="CFF2FC"/>
          </w:tcPr>
          <w:p>
            <w:pPr>
              <w:spacing w:after="0"/>
              <w:rPr>
                <w:sz w:val="19"/>
                <w:szCs w:val="19"/>
                <w:color w:val="auto"/>
              </w:rPr>
            </w:pPr>
          </w:p>
        </w:tc>
        <w:tc>
          <w:tcPr>
            <w:tcW w:w="80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80,706</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220" w:type="dxa"/>
            <w:vAlign w:val="bottom"/>
            <w:tcBorders>
              <w:top w:val="single" w:sz="8" w:color="auto"/>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199,945</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2FC"/>
              <w:bottom w:val="single" w:sz="8" w:color="CFF2FC"/>
            </w:tcBorders>
            <w:shd w:val="clear" w:color="auto" w:fill="CFF2FC"/>
          </w:tcPr>
          <w:p>
            <w:pPr>
              <w:spacing w:after="0"/>
              <w:rPr>
                <w:sz w:val="19"/>
                <w:szCs w:val="19"/>
                <w:color w:val="auto"/>
              </w:rPr>
            </w:pPr>
          </w:p>
        </w:tc>
        <w:tc>
          <w:tcPr>
            <w:tcW w:w="280" w:type="dxa"/>
            <w:vAlign w:val="bottom"/>
            <w:tcBorders>
              <w:top w:val="single" w:sz="8" w:color="auto"/>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280,651</w:t>
            </w: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color w:val="auto"/>
              </w:rPr>
              <w:t>Warrant liability</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FF2FC"/>
          </w:tcPr>
          <w:p>
            <w:pPr>
              <w:spacing w:after="0"/>
              <w:rPr>
                <w:sz w:val="19"/>
                <w:szCs w:val="19"/>
                <w:color w:val="auto"/>
              </w:rPr>
            </w:pPr>
          </w:p>
        </w:tc>
        <w:tc>
          <w:tcPr>
            <w:tcW w:w="42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2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800" w:type="dxa"/>
            <w:vAlign w:val="bottom"/>
            <w:tcBorders>
              <w:bottom w:val="single" w:sz="8" w:color="CFF2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FF2FC"/>
            </w:tcBorders>
          </w:tcPr>
          <w:p>
            <w:pPr>
              <w:spacing w:after="0"/>
              <w:rPr>
                <w:sz w:val="19"/>
                <w:szCs w:val="19"/>
                <w:color w:val="auto"/>
              </w:rPr>
            </w:pPr>
          </w:p>
        </w:tc>
        <w:tc>
          <w:tcPr>
            <w:tcW w:w="140" w:type="dxa"/>
            <w:vAlign w:val="bottom"/>
            <w:tcBorders>
              <w:bottom w:val="single" w:sz="8" w:color="CFF2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FF2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2FC"/>
            </w:tcBorders>
            <w:shd w:val="clear" w:color="auto" w:fill="CFF2FC"/>
          </w:tcPr>
          <w:p>
            <w:pPr>
              <w:spacing w:after="0"/>
              <w:rPr>
                <w:sz w:val="19"/>
                <w:szCs w:val="19"/>
                <w:color w:val="auto"/>
              </w:rPr>
            </w:pPr>
          </w:p>
        </w:tc>
        <w:tc>
          <w:tcPr>
            <w:tcW w:w="800" w:type="dxa"/>
            <w:vAlign w:val="bottom"/>
            <w:tcBorders>
              <w:bottom w:val="single" w:sz="8" w:color="CFF2FC"/>
            </w:tcBorders>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FF2FC"/>
            </w:tcBorders>
            <w:shd w:val="clear" w:color="auto" w:fill="CFF2FC"/>
          </w:tcPr>
          <w:p>
            <w:pPr>
              <w:spacing w:after="0"/>
              <w:rPr>
                <w:sz w:val="19"/>
                <w:szCs w:val="19"/>
                <w:color w:val="auto"/>
              </w:rPr>
            </w:pPr>
          </w:p>
        </w:tc>
        <w:tc>
          <w:tcPr>
            <w:tcW w:w="140" w:type="dxa"/>
            <w:vAlign w:val="bottom"/>
            <w:tcBorders>
              <w:bottom w:val="single" w:sz="8" w:color="CFF2FC"/>
            </w:tcBorders>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2017 and 2016, there were no transfers between Level 1, Level 2 and Level 3.</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September 30, 2017, the Company’s warrant liability was comprised of the value of warrants for the purchase of its Series 1 nonconvertible preferred stock. These warrants were financial instruments that might have required a transfer of assets because of the liquidation features and were therefore recorded as liabilities and measured at fair value. These warrants expired on October 4, 2017, and are therefore no longer outstanding. The outstanding shares of Series 1 nonconvertible preferred stock are also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other income (expense), net in the consolidated statements of operations.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warrant liability and Series 1 nonconvertible preferred stock using probability-weighted discounted cash flow include the following significant unobservable inputs: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80" w:type="dxa"/>
            <w:vAlign w:val="bottom"/>
          </w:tcPr>
          <w:p>
            <w:pPr>
              <w:spacing w:after="0"/>
              <w:rPr>
                <w:sz w:val="14"/>
                <w:szCs w:val="14"/>
                <w:color w:val="auto"/>
              </w:rPr>
            </w:pPr>
          </w:p>
        </w:tc>
      </w:tr>
      <w:tr>
        <w:trPr>
          <w:trHeight w:val="252"/>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680" w:type="dxa"/>
            <w:vAlign w:val="bottom"/>
            <w:gridSpan w:val="3"/>
          </w:tcPr>
          <w:p>
            <w:pPr>
              <w:ind w:left="260"/>
              <w:spacing w:after="0"/>
              <w:rPr>
                <w:sz w:val="20"/>
                <w:szCs w:val="20"/>
                <w:color w:val="auto"/>
              </w:rPr>
            </w:pPr>
            <w:r>
              <w:rPr>
                <w:rFonts w:ascii="Arial" w:cs="Arial" w:eastAsia="Arial" w:hAnsi="Arial"/>
                <w:sz w:val="14"/>
                <w:szCs w:val="14"/>
                <w:b w:val="1"/>
                <w:bCs w:val="1"/>
                <w:color w:val="auto"/>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Warrant liability and Series 1</w:t>
            </w:r>
          </w:p>
        </w:tc>
        <w:tc>
          <w:tcPr>
            <w:tcW w:w="26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color w:val="auto"/>
              </w:rPr>
              <w:t>Probabilities of payout</w:t>
            </w:r>
          </w:p>
        </w:tc>
        <w:tc>
          <w:tcPr>
            <w:tcW w:w="1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0%-65%</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0%-65%</w:t>
            </w: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nonconvertible preferred stock</w:t>
            </w:r>
          </w:p>
        </w:tc>
        <w:tc>
          <w:tcPr>
            <w:tcW w:w="26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Discount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Series 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Warrant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Nonconvertible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6"/>
              </w:rPr>
              <w:t>Preferred</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Stock</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2017</w:t>
            </w:r>
          </w:p>
        </w:tc>
        <w:tc>
          <w:tcPr>
            <w:tcW w:w="18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Warrants exercised</w:t>
            </w: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 expired</w:t>
            </w:r>
          </w:p>
        </w:tc>
        <w:tc>
          <w:tcPr>
            <w:tcW w:w="1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gridSpan w:val="2"/>
          </w:tcPr>
          <w:p>
            <w:pPr>
              <w:ind w:left="1720"/>
              <w:spacing w:after="0"/>
              <w:rPr>
                <w:sz w:val="20"/>
                <w:szCs w:val="20"/>
                <w:color w:val="auto"/>
              </w:rPr>
            </w:pPr>
            <w:r>
              <w:rPr>
                <w:rFonts w:ascii="Arial" w:cs="Arial" w:eastAsia="Arial" w:hAnsi="Arial"/>
                <w:sz w:val="18"/>
                <w:szCs w:val="18"/>
                <w:b w:val="1"/>
                <w:bCs w:val="1"/>
                <w:color w:val="auto"/>
              </w:rPr>
              <w:t>Balance, December 31, 2017</w:t>
            </w:r>
          </w:p>
        </w:tc>
        <w:tc>
          <w:tcPr>
            <w:tcW w:w="1800" w:type="dxa"/>
            <w:vAlign w:val="bottom"/>
          </w:tcPr>
          <w:p>
            <w:pPr>
              <w:spacing w:after="0"/>
              <w:rPr>
                <w:sz w:val="19"/>
                <w:szCs w:val="19"/>
                <w:color w:val="auto"/>
              </w:rPr>
            </w:pPr>
          </w:p>
        </w:tc>
        <w:tc>
          <w:tcPr>
            <w:tcW w:w="1020" w:type="dxa"/>
            <w:vAlign w:val="bottom"/>
            <w:tcBorders>
              <w:top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0" w:type="dxa"/>
            <w:vAlign w:val="bottom"/>
          </w:tcPr>
          <w:p>
            <w:pPr>
              <w:jc w:val="right"/>
              <w:ind w:right="690"/>
              <w:spacing w:after="0"/>
              <w:rPr>
                <w:sz w:val="20"/>
                <w:szCs w:val="20"/>
                <w:color w:val="auto"/>
              </w:rPr>
            </w:pPr>
            <w:r>
              <w:rPr>
                <w:rFonts w:ascii="Arial" w:cs="Arial" w:eastAsia="Arial" w:hAnsi="Arial"/>
                <w:sz w:val="18"/>
                <w:szCs w:val="18"/>
                <w:color w:val="auto"/>
              </w:rPr>
              <w:t>10</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10" w:name="page11"/>
    <w:bookmarkEnd w:id="10"/>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September 30, 2017,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0"/>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154,778</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(492)</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Treasury notes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51,838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230,068</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10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150,841</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(119)</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Treasury notes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Agency bonds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228,211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December 31, 2017, marketable securities consisted of short-term marketable securities, which are investments that mature within one year, and long-term marketable securities, with an aggregate fair value of $77,047, which consist of certain U.S. Treasury notes and corporate bonds that have maturities of more than one year but not more than three years.</w:t>
      </w:r>
    </w:p>
    <w:p>
      <w:pPr>
        <w:spacing w:after="0" w:line="28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December 31, 2017 and September 30,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2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1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1" w:name="page12"/>
    <w:bookmarkEnd w:id="11"/>
    <w:p>
      <w:pPr>
        <w:ind w:right="8140" w:firstLine="8"/>
        <w:spacing w:after="0" w:line="503" w:lineRule="auto"/>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$525,000 through December 31, 2017. Since the Company completed all its performance obligations under the AbbVie Agreement by the end of fiscal 2011, all milestone payments received since then have been recognized as revenue when the milestones were achieved by AbbVie.</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also receiving annually tiered royalties per Company protease product ranging from the low double digits up to twenty percent, or on a blended basis from the low double digits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December 31, 2017, the Company earned and recognized milestone revenue of $15,000 upon AbbVie’s achievement of commercialization regulatory approval in Japan for MAVIRET™.</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and November 2010, the Company issued warrants to purchase up to a total of 2,000 shares of Series 1 nonconvertible preferred stock. As these warrants were financial instruments that might have required the Company to transfer assets, these instruments are classified as liabilities. The following table summarizes the activity of the warrants to purchase Series 1 nonconvertible preferred stock:</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Outstanding Warrants</w:t>
            </w:r>
          </w:p>
        </w:tc>
        <w:tc>
          <w:tcPr>
            <w:tcW w:w="1980" w:type="dxa"/>
            <w:vAlign w:val="bottom"/>
            <w:gridSpan w:val="3"/>
          </w:tcPr>
          <w:p>
            <w:pPr>
              <w:ind w:left="180"/>
              <w:spacing w:after="0"/>
              <w:rPr>
                <w:sz w:val="20"/>
                <w:szCs w:val="20"/>
                <w:color w:val="auto"/>
              </w:rPr>
            </w:pPr>
            <w:r>
              <w:rPr>
                <w:rFonts w:ascii="Arial" w:cs="Arial" w:eastAsia="Arial" w:hAnsi="Arial"/>
                <w:sz w:val="14"/>
                <w:szCs w:val="14"/>
                <w:b w:val="1"/>
                <w:bCs w:val="1"/>
                <w:color w:val="auto"/>
                <w:w w:val="96"/>
              </w:rPr>
              <w:t>Weighted Average Exercise</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900" w:type="dxa"/>
            <w:vAlign w:val="bottom"/>
            <w:tcBorders>
              <w:bottom w:val="single" w:sz="8" w:color="auto"/>
            </w:tcBorders>
            <w:gridSpan w:val="2"/>
            <w:vMerge w:val="continue"/>
          </w:tcPr>
          <w:p>
            <w:pPr>
              <w:spacing w:after="0"/>
              <w:rPr>
                <w:sz w:val="14"/>
                <w:szCs w:val="14"/>
                <w:color w:val="auto"/>
              </w:rPr>
            </w:pPr>
          </w:p>
        </w:tc>
        <w:tc>
          <w:tcPr>
            <w:tcW w:w="13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Price</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3280" w:type="dxa"/>
            <w:vAlign w:val="bottom"/>
            <w:gridSpan w:val="3"/>
          </w:tcPr>
          <w:p>
            <w:pPr>
              <w:jc w:val="right"/>
              <w:ind w:right="176"/>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36"/>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(978)</w:t>
            </w:r>
          </w:p>
        </w:tc>
        <w:tc>
          <w:tcPr>
            <w:tcW w:w="1380" w:type="dxa"/>
            <w:vAlign w:val="bottom"/>
          </w:tcPr>
          <w:p>
            <w:pPr>
              <w:jc w:val="right"/>
              <w:ind w:right="10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w:t>
            </w:r>
          </w:p>
        </w:tc>
        <w:tc>
          <w:tcPr>
            <w:tcW w:w="1380" w:type="dxa"/>
            <w:vAlign w:val="bottom"/>
            <w:shd w:val="clear" w:color="auto" w:fill="CFF0FC"/>
          </w:tcPr>
          <w:p>
            <w:pPr>
              <w:jc w:val="right"/>
              <w:ind w:right="1036"/>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380" w:type="dxa"/>
            <w:vAlign w:val="bottom"/>
          </w:tcPr>
          <w:p>
            <w:pPr>
              <w:jc w:val="right"/>
              <w:ind w:right="1036"/>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2017, 1,931 shares of Series 1 nonconvertible preferred stock were issued and outstanding. As this preferred stock may require the Company to transfer a fixed amount of assets, these shares are classified as liabilities.</w:t>
      </w:r>
    </w:p>
    <w:p>
      <w:pPr>
        <w:spacing w:after="0" w:line="200" w:lineRule="exact"/>
        <w:rPr>
          <w:sz w:val="20"/>
          <w:szCs w:val="20"/>
          <w:color w:val="auto"/>
        </w:rPr>
      </w:pPr>
    </w:p>
    <w:p>
      <w:pPr>
        <w:spacing w:after="0" w:line="2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has granted stock-based awards, including stock options, restricted stock units, and performance share units, under its existing 2012 Equity Incentive Plan (the “2012 Plan”). The Company also has outstanding stock-based awards under its 1995 Equity Incentive Plan (the “1995 Plan”), but is no longer granting awards under this plan.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December 31, 2017:</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Issuable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48.55</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39.45</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68,272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December 31, 2017</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for the year-to-date period ending December 31, 2017:</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698"/>
              <w:spacing w:after="0"/>
              <w:rPr>
                <w:sz w:val="20"/>
                <w:szCs w:val="20"/>
                <w:color w:val="auto"/>
              </w:rPr>
            </w:pPr>
            <w:r>
              <w:rPr>
                <w:rFonts w:ascii="Arial" w:cs="Arial" w:eastAsia="Arial" w:hAnsi="Arial"/>
                <w:sz w:val="14"/>
                <w:szCs w:val="14"/>
                <w:b w:val="1"/>
                <w:bCs w:val="1"/>
                <w:color w:val="auto"/>
              </w:rPr>
              <w:t>PSUs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4"/>
          </w:tcPr>
          <w:p>
            <w:pPr>
              <w:ind w:left="8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left="138"/>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left="93"/>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2780" w:type="dxa"/>
            <w:vAlign w:val="bottom"/>
            <w:gridSpan w:val="4"/>
          </w:tcPr>
          <w:p>
            <w:pPr>
              <w:jc w:val="center"/>
              <w:ind w:right="98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left="578"/>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60" w:type="dxa"/>
            <w:vAlign w:val="bottom"/>
            <w:shd w:val="clear" w:color="auto" w:fill="CFF0FC"/>
          </w:tcPr>
          <w:p>
            <w:pPr>
              <w:jc w:val="right"/>
              <w:ind w:right="65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34.51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228"/>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658"/>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FF0FC"/>
          </w:tcPr>
          <w:p>
            <w:pPr>
              <w:jc w:val="right"/>
              <w:ind w:right="12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40"/>
              <w:spacing w:after="0"/>
              <w:rPr>
                <w:sz w:val="20"/>
                <w:szCs w:val="20"/>
                <w:color w:val="auto"/>
              </w:rPr>
            </w:pPr>
            <w:r>
              <w:rPr>
                <w:rFonts w:ascii="Arial" w:cs="Arial" w:eastAsia="Arial" w:hAnsi="Arial"/>
                <w:sz w:val="18"/>
                <w:szCs w:val="18"/>
                <w:color w:val="auto"/>
              </w:rPr>
              <w:t>Cancelled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228"/>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2017</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60" w:type="dxa"/>
            <w:vAlign w:val="bottom"/>
            <w:tcBorders>
              <w:top w:val="single" w:sz="8" w:color="CFF0FC"/>
              <w:bottom w:val="single" w:sz="8" w:color="CFF0FC"/>
            </w:tcBorders>
            <w:shd w:val="clear" w:color="auto" w:fill="CFF0FC"/>
          </w:tcPr>
          <w:p>
            <w:pPr>
              <w:jc w:val="right"/>
              <w:ind w:right="658"/>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34.51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70</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of these awards is determined based on the intrinsic value of the stock on the date of grant and will be recognized as stock-based compensation expense over the requisite service period. The following table summarizes the restricted stock unit activity for the year-to-date period ending December 31,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Restricted Stock</w:t>
            </w:r>
          </w:p>
        </w:tc>
        <w:tc>
          <w:tcPr>
            <w:tcW w:w="4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Units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2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 except per share data)</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3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6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2017</w:t>
            </w:r>
          </w:p>
        </w:tc>
        <w:tc>
          <w:tcPr>
            <w:tcW w:w="16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80" w:type="dxa"/>
            <w:vAlign w:val="bottom"/>
            <w:vMerge w:val="restart"/>
          </w:tcPr>
          <w:p>
            <w:pPr>
              <w:jc w:val="right"/>
              <w:ind w:right="690"/>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2017 and 2016, the Company recognized the following stock-based compensation expense: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4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22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30"/>
        </w:trPr>
        <w:tc>
          <w:tcPr>
            <w:tcW w:w="4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1"/>
        </w:trPr>
        <w:tc>
          <w:tcPr>
            <w:tcW w:w="4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December 31, 2017 and 2016, the Company recognized stock-based compensation expense for PSUs and performance-based options upon achievement of performance-based targets that occurred during their respective periods.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discussed in Note 2, the Company adopted ASU 2016-09 during the three months ended December 31, 2017. ASU 2016-09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As a result of the adoption, the Company changed its forfeiture rate policy to recognize forfeitures as they occur. Upon adoption, the cumulative impact of this change in policy on retained earnings and deferred tax assets in the consolidated balance sheet was not material. In addition, the consolidated statements of cash flows will present excess tax benefits, if any, as part of cash flows from operating activities. The Company elected to adopt this change on a prospective basis and, therefore, excess tax benefits from prior periods in the statement of cash flow were not retroactively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2017, the Company had an aggregate of $32,132 of unrecognized stock-based compensation cost, which is expected to be recognized over a weighted average period of 2.7 years.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4" w:name="page15"/>
    <w:bookmarkEnd w:id="14"/>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three months ended December 31, 2017 and 2016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108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3160" w:type="dxa"/>
            <w:vAlign w:val="bottom"/>
            <w:gridSpan w:val="4"/>
          </w:tcPr>
          <w:p>
            <w:pPr>
              <w:jc w:val="center"/>
              <w:ind w:left="506"/>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19,130</w:t>
            </w:r>
          </w:p>
        </w:tc>
        <w:tc>
          <w:tcPr>
            <w:tcW w:w="4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FF0FC"/>
            </w:tcBorders>
            <w:vMerge w:val="continue"/>
          </w:tcPr>
          <w:p>
            <w:pPr>
              <w:spacing w:after="0"/>
              <w:rPr>
                <w:sz w:val="21"/>
                <w:szCs w:val="21"/>
                <w:color w:val="auto"/>
              </w:rPr>
            </w:pPr>
          </w:p>
        </w:tc>
        <w:tc>
          <w:tcPr>
            <w:tcW w:w="108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19,130</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outstanding—diluted</w:t>
            </w: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19,918</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FF0FC"/>
            </w:tcBorders>
            <w:vMerge w:val="continue"/>
          </w:tcPr>
          <w:p>
            <w:pPr>
              <w:spacing w:after="0"/>
              <w:rPr>
                <w:sz w:val="21"/>
                <w:szCs w:val="21"/>
                <w:color w:val="auto"/>
              </w:rPr>
            </w:pPr>
          </w:p>
        </w:tc>
        <w:tc>
          <w:tcPr>
            <w:tcW w:w="108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Anti-dilutive common stock equivalents excluded from above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was in a net loss position since the impact of such common stock equivalents would have been anti-dilutive.</w:t>
      </w:r>
    </w:p>
    <w:p>
      <w:pPr>
        <w:spacing w:after="0" w:line="27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December 31, 2017 and 2016, the Company recorded an income tax (expense) benefit of $(3,644) and $1,542, respectively, which was attributable to the Company’s domestic operations. During the three months ended December 31, 2017, income tax expense included a revaluation adjustment against deferred tax assets of $(3,859) due to a decrease in the federal corporate income tax rate as enacted under the U.S. Tax Cuts and Jobs Act (the “Tax Act”). The Company also recorded an income tax benefit of $215 during the three months ended December 31, 2017, primarily related to excess tax benefits for stock option activity which is now recorded in income tax expense (benefit) due to the adoption of ASU 2016-09 during the three months ended December 31, 2017.</w:t>
      </w:r>
    </w:p>
    <w:p>
      <w:pPr>
        <w:spacing w:after="0" w:line="1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Estimates used to prepare our income tax expense are based on the Company’s initial analysis of the Tax Act enacted in December 2017. Given the complexity of the act, anticipated guidance from the U. S. Treasury regarding implementation of the act, and potential for additional guidance from the SEC and the Financial Accounting Standards Board related to the act, these estimates may be adjusted during fiscal 2018 to reflect any such guidance provided.</w:t>
      </w:r>
    </w:p>
    <w:p>
      <w:pPr>
        <w:spacing w:after="0" w:line="1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three months ended December 31, 2016, the Company recorded an income tax benefit due to the Company’s loss before income taxes for the quarter as well as federal research and development tax credits which reduced taxes payable and were reflected in the Company’s annual effective tax rate.</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2013 to the present. Earlier years may be examined to the extent that tax credit or net operating loss carryforwards are used in future periods. The Company is currently under examination by the Internal Revenue Service for the year ending September 30, 2016. No adjustments have been proposed to date. The Company has not received notice of examination by any other jurisdictions for any other tax year open under statute.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right="320"/>
        <w:spacing w:after="0" w:line="264" w:lineRule="auto"/>
        <w:rPr>
          <w:sz w:val="20"/>
          <w:szCs w:val="20"/>
          <w:color w:val="auto"/>
        </w:rPr>
      </w:pPr>
      <w:r>
        <w:rPr>
          <w:rFonts w:ascii="Arial" w:cs="Arial" w:eastAsia="Arial" w:hAnsi="Arial"/>
          <w:sz w:val="18"/>
          <w:szCs w:val="18"/>
          <w:color w:val="auto"/>
        </w:rPr>
        <w:t>The Company had an unrecognized tax benefit of $1,188 and $1,175 as of December 31, 2017 and September 30, 2017,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$506 for both the three months ended December 31, 2017 and 2016.</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connection with the lease, the Company has outstanding a $608 letter of credit, collateralized by a money market account. As of December 31, 2017 and September 30, 2017, the Company classified the $608 related to the letter of credit as restricted cash. Additionally, the lease, as amended, included a $598 tenant improvement allowance from the landlord, which is accounted for as a capital lease obligation.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2017.</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2017 included in our Annual Report on Form 10-K for that fiscal year which is referred to as our 2017 Form 10-K. Please refer to our note regarding forward-looking statements on page 2 of this Form 10-Q, which is incorporated herein by this reference.</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and marketed as part of AbbVie’s new direct-acting antiviral (DAA) regimen under the tradenames MAVYRET™ (U.S.) or MAVIRET™ (ex-U.S.) (glecaprevir/pibrentasvir) for the treatment of chronic hepatitis C virus, or HCV. The other protease inhibitor under our HCV collaboration is part of AbbVie’s initial DAA regimens for the treatment of chronic HCV marketed under the tradenames VIEKIRA PAK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(paritaprevir/ritonavir/</w:t>
      </w:r>
    </w:p>
    <w:p>
      <w:pPr>
        <w:spacing w:after="0" w:line="1" w:lineRule="exact"/>
        <w:rPr>
          <w:sz w:val="20"/>
          <w:szCs w:val="20"/>
          <w:color w:val="auto"/>
        </w:rPr>
      </w:pPr>
    </w:p>
    <w:p>
      <w:pPr>
        <w:ind w:right="160"/>
        <w:spacing w:after="0" w:line="217" w:lineRule="auto"/>
        <w:rPr>
          <w:sz w:val="20"/>
          <w:szCs w:val="20"/>
          <w:color w:val="auto"/>
        </w:rPr>
      </w:pPr>
      <w:r>
        <w:rPr>
          <w:rFonts w:ascii="Arial" w:cs="Arial" w:eastAsia="Arial" w:hAnsi="Arial"/>
          <w:sz w:val="18"/>
          <w:szCs w:val="18"/>
          <w:color w:val="auto"/>
        </w:rPr>
        <w:t>ombitasvir/dasabuvir) (U.S.) or VIEKIRAX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(paritaprevir/ritonavir/ombitasvir) (ex-U.S.). Our royalties from our AbbVie collaboration and our existing financial resources provide us funding to support our wholly owned research and development efforts, which are currently focused on the following disease targets:</w:t>
      </w:r>
    </w:p>
    <w:p>
      <w:pPr>
        <w:spacing w:after="0" w:line="96"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one year of age in the U.S., resulting in an estimated 75,000 to 125,000 hospitalizations each year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had $297.5 million in cash and marketable securities at December 31, 2017. In the first quarter of our fiscal year 2018, we earned $23.1 million in royalties on the portion of AbbVie’s net sales of its HCV regimens allocated to glecaprevir or paritaprevir and earned our remaining $15.0 million milestone under our collaboration with AbbVie as a result of commercialization regulatory approval of MAVIRET™ in Japan. We expect our existing financial resources and cash flows will allow us to continue to fund our wholly owned research and development programs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research and development programs are in liver disease (non-virology), namely NASH and PBC, and in virology, namely RSV and HBV:</w:t>
      </w:r>
    </w:p>
    <w:p>
      <w:pPr>
        <w:spacing w:after="0" w:line="154" w:lineRule="exact"/>
        <w:rPr>
          <w:sz w:val="20"/>
          <w:szCs w:val="20"/>
          <w:color w:val="auto"/>
        </w:rPr>
      </w:pPr>
    </w:p>
    <w:p>
      <w:pPr>
        <w:ind w:left="1040" w:right="140" w:hanging="519"/>
        <w:spacing w:after="0" w:line="27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34290" cy="1460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75" w:lineRule="exact"/>
        <w:rPr>
          <w:sz w:val="20"/>
          <w:szCs w:val="20"/>
          <w:color w:val="auto"/>
        </w:rPr>
      </w:pPr>
    </w:p>
    <w:p>
      <w:pPr>
        <w:ind w:left="1520" w:right="200" w:hanging="378"/>
        <w:spacing w:after="0" w:line="252" w:lineRule="auto"/>
        <w:tabs>
          <w:tab w:leader="none" w:pos="152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The study included 98 healthy volunteer subjects, or HV subjects, and 48 subjects who were obese and with or without pre-diabetes or type 2 diabetes, whom we refer to as subjects with presumptive non-alcoholic fatty liver disease, or PN subjects.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ind w:left="2280" w:right="140" w:hanging="381"/>
        <w:spacing w:after="0" w:line="277" w:lineRule="auto"/>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EDP-305 exhibited strong engagement of the FXR receptor as evidenced by increased levels of FGF19 and reduced levels of C4, both of which are monitored as downstream markers indicating FXR receptor activity.</w:t>
      </w:r>
    </w:p>
    <w:p>
      <w:pPr>
        <w:spacing w:after="0" w:line="62" w:lineRule="exact"/>
        <w:rPr>
          <w:rFonts w:ascii="Arial" w:cs="Arial" w:eastAsia="Arial" w:hAnsi="Arial"/>
          <w:sz w:val="18"/>
          <w:szCs w:val="18"/>
          <w:color w:val="auto"/>
        </w:rPr>
      </w:pPr>
    </w:p>
    <w:p>
      <w:pPr>
        <w:ind w:left="2280" w:right="280" w:hanging="381"/>
        <w:spacing w:after="0" w:line="277" w:lineRule="auto"/>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support the ability to administer EDP-305 in future trials at doses that neither elicit clinically significant changes in lipids nor result in pruritus (itching).</w:t>
      </w:r>
    </w:p>
    <w:p>
      <w:pPr>
        <w:spacing w:after="0" w:line="62" w:lineRule="exact"/>
        <w:rPr>
          <w:sz w:val="20"/>
          <w:szCs w:val="20"/>
          <w:color w:val="auto"/>
        </w:rPr>
      </w:pPr>
    </w:p>
    <w:p>
      <w:pPr>
        <w:ind w:left="1540" w:hanging="506"/>
        <w:spacing w:after="0" w:line="272" w:lineRule="auto"/>
        <w:tabs>
          <w:tab w:leader="none" w:pos="1540" w:val="left"/>
        </w:tabs>
        <w:numPr>
          <w:ilvl w:val="1"/>
          <w:numId w:val="18"/>
        </w:numPr>
        <w:rPr>
          <w:rFonts w:ascii="Courier New" w:cs="Courier New" w:eastAsia="Courier New" w:hAnsi="Courier New"/>
          <w:sz w:val="17"/>
          <w:szCs w:val="17"/>
          <w:color w:val="auto"/>
        </w:rPr>
      </w:pPr>
      <w:r>
        <w:rPr>
          <w:rFonts w:ascii="Arial" w:cs="Arial" w:eastAsia="Arial" w:hAnsi="Arial"/>
          <w:sz w:val="17"/>
          <w:szCs w:val="17"/>
          <w:color w:val="auto"/>
        </w:rPr>
        <w:t xml:space="preserve">Since November 2016, we have presented data at the 2016 and 2017 annual meetings of the American Association for the Study of Liver Diseases (AASLD), the 2017 and 2018 NASH-TAG conferences and the 2017 International Liver Congress (ILC) that demonstrated that EDP-305 is a highly selective FXR agonist and shows more potent activity in a variety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NASH models compared to the most advanced NASH candidate in development today, obeticholic acid, or OCA.</w:t>
      </w:r>
    </w:p>
    <w:p>
      <w:pPr>
        <w:spacing w:after="0" w:line="69" w:lineRule="exact"/>
        <w:rPr>
          <w:rFonts w:ascii="Courier New" w:cs="Courier New" w:eastAsia="Courier New" w:hAnsi="Courier New"/>
          <w:sz w:val="17"/>
          <w:szCs w:val="17"/>
          <w:color w:val="auto"/>
        </w:rPr>
      </w:pPr>
    </w:p>
    <w:p>
      <w:pPr>
        <w:ind w:left="1540" w:hanging="506"/>
        <w:spacing w:after="0"/>
        <w:tabs>
          <w:tab w:leader="none" w:pos="154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We initiated a Phase 2 clinical study of EDP-305 in PBC patients in December 2017.</w:t>
      </w:r>
    </w:p>
    <w:p>
      <w:pPr>
        <w:spacing w:after="0" w:line="101" w:lineRule="exact"/>
        <w:rPr>
          <w:rFonts w:ascii="Courier New" w:cs="Courier New" w:eastAsia="Courier New" w:hAnsi="Courier New"/>
          <w:sz w:val="18"/>
          <w:szCs w:val="18"/>
          <w:color w:val="auto"/>
        </w:rPr>
      </w:pPr>
    </w:p>
    <w:p>
      <w:pPr>
        <w:ind w:left="1540" w:hanging="506"/>
        <w:spacing w:after="0"/>
        <w:tabs>
          <w:tab w:leader="none" w:pos="154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We have recently initiated recruitment of a Phase 2 clinical study of EDP-305 in NASH patients.</w:t>
      </w:r>
    </w:p>
    <w:p>
      <w:pPr>
        <w:spacing w:after="0" w:line="101" w:lineRule="exact"/>
        <w:rPr>
          <w:rFonts w:ascii="Courier New" w:cs="Courier New" w:eastAsia="Courier New" w:hAnsi="Courier New"/>
          <w:sz w:val="18"/>
          <w:szCs w:val="18"/>
          <w:color w:val="auto"/>
        </w:rPr>
      </w:pPr>
    </w:p>
    <w:p>
      <w:pPr>
        <w:ind w:left="1540" w:right="40" w:hanging="506"/>
        <w:spacing w:after="0" w:line="259" w:lineRule="auto"/>
        <w:tabs>
          <w:tab w:leader="none" w:pos="154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EDP-305 has been granted Fast Track designation by the U.S. Food and Drug Administration (FDA) for the treatment of NASH patients with liver fibrosis and separately for the treatment of PBC.</w:t>
      </w:r>
    </w:p>
    <w:p>
      <w:pPr>
        <w:spacing w:after="0" w:line="76" w:lineRule="exact"/>
        <w:rPr>
          <w:rFonts w:ascii="Courier New" w:cs="Courier New" w:eastAsia="Courier New" w:hAnsi="Courier New"/>
          <w:sz w:val="18"/>
          <w:szCs w:val="18"/>
          <w:color w:val="auto"/>
        </w:rPr>
      </w:pPr>
    </w:p>
    <w:p>
      <w:pPr>
        <w:ind w:left="1540" w:right="80" w:hanging="506"/>
        <w:spacing w:after="0" w:line="259" w:lineRule="auto"/>
        <w:tabs>
          <w:tab w:leader="none" w:pos="154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In addition, we are pursuing research in other classes of FXR agonists as well as other mechanisms that may provide therapeutic benefit in NASH, any of which could be used as combination therapies for NASH.</w:t>
      </w:r>
    </w:p>
    <w:p>
      <w:pPr>
        <w:spacing w:after="0" w:line="76" w:lineRule="exact"/>
        <w:rPr>
          <w:rFonts w:ascii="Courier New" w:cs="Courier New" w:eastAsia="Courier New" w:hAnsi="Courier New"/>
          <w:sz w:val="18"/>
          <w:szCs w:val="18"/>
          <w:color w:val="auto"/>
        </w:rPr>
      </w:pPr>
    </w:p>
    <w:p>
      <w:pPr>
        <w:ind w:left="1040" w:right="6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selected EDP-938, a potent N-protein inhibitor of activity of both major subgroups of RSV, referred to as RSV-A and RSV-B, as our first development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9" w:lineRule="exact"/>
        <w:rPr>
          <w:sz w:val="20"/>
          <w:szCs w:val="20"/>
          <w:color w:val="auto"/>
        </w:rPr>
      </w:pPr>
    </w:p>
    <w:p>
      <w:pPr>
        <w:ind w:left="1520" w:right="20" w:hanging="378"/>
        <w:spacing w:after="0" w:line="269" w:lineRule="auto"/>
        <w:tabs>
          <w:tab w:leader="none" w:pos="1520" w:val="left"/>
        </w:tabs>
        <w:numPr>
          <w:ilvl w:val="1"/>
          <w:numId w:val="19"/>
        </w:numPr>
        <w:rPr>
          <w:rFonts w:ascii="Courier New" w:cs="Courier New" w:eastAsia="Courier New" w:hAnsi="Courier New"/>
          <w:sz w:val="17"/>
          <w:szCs w:val="17"/>
          <w:color w:val="auto"/>
        </w:rPr>
      </w:pPr>
      <w:r>
        <w:rPr>
          <w:rFonts w:ascii="Arial" w:cs="Arial" w:eastAsia="Arial" w:hAnsi="Arial"/>
          <w:sz w:val="17"/>
          <w:szCs w:val="17"/>
          <w:color w:val="auto"/>
        </w:rPr>
        <w:t xml:space="preserve">In June 2017, we presented preclinical data demonstrating that EDP-938 is a potent inhibitor of both RSV-A and RSV-B activity, maintaining antiviral activity post-infection while presenting a high barrier to resistance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EDP-938 demonstrated a greater than 4-log reduction in viral load in an animal model challenged with RSV. Further, EDP-938 maintained antiviral potency across all clinical isolates tested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 well as virus that was resistant to fusion inhibitors. The compound inhibited RSV at a post-entry, replication step and maintained its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when given 24 hours post infection. In addition, combination studies of EDP-938 with other types of RSV inhibitors, such as fusion inhibitors, showed synergistic antiviral effects.</w:t>
      </w:r>
    </w:p>
    <w:p>
      <w:pPr>
        <w:spacing w:after="0" w:line="73" w:lineRule="exact"/>
        <w:rPr>
          <w:rFonts w:ascii="Courier New" w:cs="Courier New" w:eastAsia="Courier New" w:hAnsi="Courier New"/>
          <w:sz w:val="17"/>
          <w:szCs w:val="17"/>
          <w:color w:val="auto"/>
        </w:rPr>
      </w:pPr>
    </w:p>
    <w:p>
      <w:pPr>
        <w:ind w:left="1520" w:hanging="378"/>
        <w:spacing w:after="0"/>
        <w:tabs>
          <w:tab w:leader="none" w:pos="152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We initiated a Phase 1 clinical study of EDP-938 in the fourth quarter of calendar 2017.</w:t>
      </w:r>
    </w:p>
    <w:p>
      <w:pPr>
        <w:spacing w:after="0" w:line="101" w:lineRule="exact"/>
        <w:rPr>
          <w:rFonts w:ascii="Courier New" w:cs="Courier New" w:eastAsia="Courier New" w:hAnsi="Courier New"/>
          <w:sz w:val="18"/>
          <w:szCs w:val="18"/>
          <w:color w:val="auto"/>
        </w:rPr>
      </w:pPr>
    </w:p>
    <w:p>
      <w:pPr>
        <w:ind w:left="1520" w:right="420" w:hanging="378"/>
        <w:spacing w:after="0" w:line="259" w:lineRule="auto"/>
        <w:tabs>
          <w:tab w:leader="none" w:pos="1520" w:val="left"/>
        </w:tabs>
        <w:numPr>
          <w:ilvl w:val="1"/>
          <w:numId w:val="19"/>
        </w:numPr>
        <w:rPr>
          <w:rFonts w:ascii="Courier New" w:cs="Courier New" w:eastAsia="Courier New" w:hAnsi="Courier New"/>
          <w:sz w:val="18"/>
          <w:szCs w:val="18"/>
          <w:color w:val="auto"/>
        </w:rPr>
      </w:pPr>
      <w:r>
        <w:rPr>
          <w:rFonts w:ascii="Arial" w:cs="Arial" w:eastAsia="Arial" w:hAnsi="Arial"/>
          <w:sz w:val="18"/>
          <w:szCs w:val="18"/>
          <w:color w:val="auto"/>
        </w:rPr>
        <w:t>We anticipate starting a Phase 2a challenge study in the second half of 2018. The challenge study will test the effect of EDP-938 on volunteers who will be infected with RSV in the course of the study.</w:t>
      </w:r>
    </w:p>
    <w:p>
      <w:pPr>
        <w:spacing w:after="0" w:line="76" w:lineRule="exact"/>
        <w:rPr>
          <w:rFonts w:ascii="Courier New" w:cs="Courier New" w:eastAsia="Courier New" w:hAnsi="Courier New"/>
          <w:sz w:val="18"/>
          <w:szCs w:val="18"/>
          <w:color w:val="auto"/>
        </w:rPr>
      </w:pPr>
    </w:p>
    <w:p>
      <w:pPr>
        <w:ind w:left="1040" w:right="60" w:hanging="519"/>
        <w:spacing w:after="0" w:line="276"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We also have a program to discover and develop new chemical entities for the treatment of HBV. Our initial focus is on core inhibition,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core inhibitors of HBV with the goal of identifying a development candidate in 2018. In addition, we are conducting preclinical experiments with compounds we have discovered that use other mechanisms that target HBV.</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Through our Collaborative Development and License Agreement with AbbVie, we have developed and licensed to AbbVie two protease inhibitor compounds that have been clinically tested, manufactured, and commercialized by AbbVie. To date, we have earned a total of $330.0 million in milestone payments related to clinical development and commercialization regulatory approvals of these regimens in major markets:</w:t>
      </w:r>
    </w:p>
    <w:p>
      <w:pPr>
        <w:spacing w:after="0" w:line="73" w:lineRule="exact"/>
        <w:rPr>
          <w:sz w:val="20"/>
          <w:szCs w:val="20"/>
          <w:color w:val="auto"/>
        </w:rPr>
      </w:pPr>
    </w:p>
    <w:p>
      <w:pPr>
        <w:ind w:left="1040" w:right="20" w:hanging="519"/>
        <w:spacing w:after="0" w:line="25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Glecaprevir:</w:t>
      </w:r>
      <w:r>
        <w:rPr>
          <w:rFonts w:ascii="Arial" w:cs="Arial" w:eastAsia="Arial" w:hAnsi="Arial"/>
          <w:sz w:val="18"/>
          <w:szCs w:val="18"/>
          <w:color w:val="auto"/>
        </w:rPr>
        <w:t xml:space="preserve"> Glecaprevir is the protease inhibitor we discovered that was developed by AbbVie in a fixed-dose combination with its NS5A inhibitor, pibrentasvir, for the treatment of HCV. This combination, currently marketed under the brand name MAVYRET™ in the U.S. and MAVIRET™ (ex-U.S.) and referred to in this report as MAVYRET/MAVIRET, is a new, once daily, all oral, fixed-dose, ribavirin-free treatment for HCV genotypes 1-6, or GT1-6, which is referred to as being pan-genotypic. In the EU, U.S. and Japan it is approved as an 8-week treatment for patients without cirrhosis and new to treatment. Today, these patients are estimated to represent the majority of HCV patients in the developed country markets.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Our economics from AbbVie’s MAVYRET/MAVIRET consist of two components:</w:t>
      </w:r>
    </w:p>
    <w:p>
      <w:pPr>
        <w:spacing w:after="0" w:line="117" w:lineRule="exact"/>
        <w:rPr>
          <w:sz w:val="20"/>
          <w:szCs w:val="20"/>
          <w:color w:val="auto"/>
        </w:rPr>
      </w:pPr>
    </w:p>
    <w:p>
      <w:pPr>
        <w:ind w:left="1020" w:hanging="506"/>
        <w:spacing w:after="0"/>
        <w:tabs>
          <w:tab w:leader="none" w:pos="10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We receive annually tiered, double-digit, per-product royalties on 50% of the net sales of the 2-DAA</w:t>
      </w:r>
    </w:p>
    <w:p>
      <w:pPr>
        <w:spacing w:after="0" w:line="7" w:lineRule="exact"/>
        <w:rPr>
          <w:rFonts w:ascii="Courier New" w:cs="Courier New" w:eastAsia="Courier New" w:hAnsi="Courier New"/>
          <w:sz w:val="18"/>
          <w:szCs w:val="18"/>
          <w:color w:val="auto"/>
        </w:rPr>
      </w:pPr>
    </w:p>
    <w:p>
      <w:pPr>
        <w:ind w:left="1020" w:right="720"/>
        <w:spacing w:after="0" w:line="261" w:lineRule="auto"/>
        <w:rPr>
          <w:rFonts w:ascii="Courier New" w:cs="Courier New" w:eastAsia="Courier New" w:hAnsi="Courier New"/>
          <w:sz w:val="18"/>
          <w:szCs w:val="18"/>
          <w:color w:val="auto"/>
        </w:rPr>
      </w:pPr>
      <w:r>
        <w:rPr>
          <w:rFonts w:ascii="Arial" w:cs="Arial" w:eastAsia="Arial" w:hAnsi="Arial"/>
          <w:sz w:val="18"/>
          <w:szCs w:val="18"/>
          <w:color w:val="auto"/>
        </w:rPr>
        <w:t>glecaprevir/pibrentasvir combination in MAVYRET/MAVIRET. These royalties are calculated separately from the royalties on paritaprevir-containing regimens.</w:t>
      </w:r>
    </w:p>
    <w:p>
      <w:pPr>
        <w:spacing w:after="0" w:line="75" w:lineRule="exact"/>
        <w:rPr>
          <w:rFonts w:ascii="Courier New" w:cs="Courier New" w:eastAsia="Courier New" w:hAnsi="Courier New"/>
          <w:sz w:val="18"/>
          <w:szCs w:val="18"/>
          <w:color w:val="auto"/>
        </w:rPr>
      </w:pPr>
    </w:p>
    <w:p>
      <w:pPr>
        <w:ind w:left="1020" w:right="1700" w:hanging="506"/>
        <w:spacing w:after="0" w:line="259" w:lineRule="auto"/>
        <w:tabs>
          <w:tab w:leader="none" w:pos="10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We also earned all available milestones, totaling $80.0 million, for commercialization regulatory approvals of the glecaprevir/pibrentasvir combination in the U.S., EU and Japan.</w:t>
      </w:r>
    </w:p>
    <w:p>
      <w:pPr>
        <w:spacing w:after="0" w:line="7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The U.S., EU and Japan authorizations for the MAVYRET/MAVIRET combination of glecaprevir and pibrentasvir, and AbbVie’s applications for approval of MAVYRET/MAVIRET in other jurisdictions, are supported by the following studies:</w:t>
      </w:r>
    </w:p>
    <w:p>
      <w:pPr>
        <w:spacing w:after="0" w:line="62" w:lineRule="exact"/>
        <w:rPr>
          <w:sz w:val="20"/>
          <w:szCs w:val="20"/>
          <w:color w:val="auto"/>
        </w:rPr>
      </w:pPr>
    </w:p>
    <w:p>
      <w:pPr>
        <w:jc w:val="both"/>
        <w:ind w:left="1100" w:hanging="572"/>
        <w:spacing w:after="0" w:line="312" w:lineRule="auto"/>
        <w:tabs>
          <w:tab w:leader="none" w:pos="1100" w:val="left"/>
        </w:tabs>
        <w:numPr>
          <w:ilvl w:val="1"/>
          <w:numId w:val="22"/>
        </w:numPr>
        <w:rPr>
          <w:rFonts w:ascii="Courier New" w:cs="Courier New" w:eastAsia="Courier New" w:hAnsi="Courier New"/>
          <w:sz w:val="16"/>
          <w:szCs w:val="16"/>
          <w:color w:val="auto"/>
        </w:rPr>
      </w:pPr>
      <w:r>
        <w:rPr>
          <w:rFonts w:ascii="Arial" w:cs="Arial" w:eastAsia="Arial" w:hAnsi="Arial"/>
          <w:sz w:val="16"/>
          <w:szCs w:val="16"/>
          <w:b w:val="1"/>
          <w:bCs w:val="1"/>
          <w:i w:val="1"/>
          <w:iCs w:val="1"/>
          <w:color w:val="auto"/>
        </w:rPr>
        <w:t xml:space="preserve">8 weeks for treatment-naïve, non-cirrhotics: </w:t>
      </w:r>
      <w:r>
        <w:rPr>
          <w:rFonts w:ascii="Arial" w:cs="Arial" w:eastAsia="Arial" w:hAnsi="Arial"/>
          <w:sz w:val="16"/>
          <w:szCs w:val="16"/>
          <w:color w:val="auto"/>
        </w:rPr>
        <w:t>In November 2016, results from several Phase 3 studies of this combination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97.5% of chronic HCV infected patients without cirrhosis and new to treatment across all major genotypes (GT1-6) achieved sustained virologic response at 12 weeks post-treatment, referred to as SVR</w:t>
      </w:r>
      <w:r>
        <w:rPr>
          <w:rFonts w:ascii="Arial" w:cs="Arial" w:eastAsia="Arial" w:hAnsi="Arial"/>
          <w:sz w:val="13"/>
          <w:szCs w:val="13"/>
          <w:color w:val="auto"/>
        </w:rPr>
        <w:t>12</w:t>
      </w:r>
      <w:r>
        <w:rPr>
          <w:rFonts w:ascii="Arial" w:cs="Arial" w:eastAsia="Arial" w:hAnsi="Arial"/>
          <w:sz w:val="16"/>
          <w:szCs w:val="16"/>
          <w:color w:val="auto"/>
        </w:rPr>
        <w:t>, with just 8 weeks of MAVYRET/MAVIRET treatment.</w:t>
      </w:r>
    </w:p>
    <w:p>
      <w:pPr>
        <w:spacing w:after="0" w:line="20" w:lineRule="exact"/>
        <w:rPr>
          <w:rFonts w:ascii="Courier New" w:cs="Courier New" w:eastAsia="Courier New" w:hAnsi="Courier New"/>
          <w:sz w:val="16"/>
          <w:szCs w:val="16"/>
          <w:color w:val="auto"/>
        </w:rPr>
      </w:pPr>
    </w:p>
    <w:p>
      <w:pPr>
        <w:ind w:left="1100" w:right="40" w:hanging="572"/>
        <w:spacing w:after="0" w:line="254" w:lineRule="auto"/>
        <w:tabs>
          <w:tab w:leader="none" w:pos="1100" w:val="left"/>
        </w:tabs>
        <w:numPr>
          <w:ilvl w:val="1"/>
          <w:numId w:val="22"/>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8 weeks with chronic kidney disease: </w:t>
      </w:r>
      <w:r>
        <w:rPr>
          <w:rFonts w:ascii="Arial" w:cs="Arial" w:eastAsia="Arial" w:hAnsi="Arial"/>
          <w:sz w:val="18"/>
          <w:szCs w:val="18"/>
          <w:color w:val="auto"/>
        </w:rPr>
        <w:t>Results were also presented from AbbVie’s EXPEDITION-4 study in chronic HCV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chronic kidney disease (CKD), in which 98% of patients (n=102/104)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12 weeks of treatment with MAVYRET/MAVIRET.</w:t>
      </w:r>
    </w:p>
    <w:p>
      <w:pPr>
        <w:spacing w:after="0" w:line="82" w:lineRule="exact"/>
        <w:rPr>
          <w:rFonts w:ascii="Courier New" w:cs="Courier New" w:eastAsia="Courier New" w:hAnsi="Courier New"/>
          <w:sz w:val="18"/>
          <w:szCs w:val="18"/>
          <w:color w:val="auto"/>
        </w:rPr>
      </w:pPr>
    </w:p>
    <w:p>
      <w:pPr>
        <w:jc w:val="both"/>
        <w:ind w:left="1100" w:right="280" w:hanging="572"/>
        <w:spacing w:after="0" w:line="254" w:lineRule="auto"/>
        <w:tabs>
          <w:tab w:leader="none" w:pos="1100" w:val="left"/>
        </w:tabs>
        <w:numPr>
          <w:ilvl w:val="1"/>
          <w:numId w:val="22"/>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8 weeks for GT-3: </w:t>
      </w:r>
      <w:r>
        <w:rPr>
          <w:rFonts w:ascii="Arial" w:cs="Arial" w:eastAsia="Arial" w:hAnsi="Arial"/>
          <w:sz w:val="18"/>
          <w:szCs w:val="18"/>
          <w:color w:val="auto"/>
        </w:rPr>
        <w:t>Data from AbbVie’s ENDURANCE-3 study were presented at the 2017 ILC, demonstrating that 95%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challenging-to-treat, genotype 3 (GT3) chronic HCV infection, without cirrhosis and new to treatment, achieved SVR</w:t>
      </w:r>
      <w:r>
        <w:rPr>
          <w:rFonts w:ascii="Arial" w:cs="Arial" w:eastAsia="Arial" w:hAnsi="Arial"/>
          <w:sz w:val="15"/>
          <w:szCs w:val="15"/>
          <w:color w:val="auto"/>
        </w:rPr>
        <w:t>12</w:t>
      </w:r>
      <w:r>
        <w:rPr>
          <w:rFonts w:ascii="Arial" w:cs="Arial" w:eastAsia="Arial" w:hAnsi="Arial"/>
          <w:sz w:val="18"/>
          <w:szCs w:val="18"/>
          <w:color w:val="auto"/>
        </w:rPr>
        <w:t xml:space="preserve"> after 8 weeks of treatment with MAVYRET/MAVIRET.</w:t>
      </w:r>
    </w:p>
    <w:p>
      <w:pPr>
        <w:spacing w:after="0" w:line="82" w:lineRule="exact"/>
        <w:rPr>
          <w:rFonts w:ascii="Courier New" w:cs="Courier New" w:eastAsia="Courier New" w:hAnsi="Courier New"/>
          <w:sz w:val="18"/>
          <w:szCs w:val="18"/>
          <w:color w:val="auto"/>
        </w:rPr>
      </w:pPr>
    </w:p>
    <w:p>
      <w:pPr>
        <w:jc w:val="both"/>
        <w:ind w:left="1100" w:right="120" w:hanging="572"/>
        <w:spacing w:after="0" w:line="254" w:lineRule="auto"/>
        <w:tabs>
          <w:tab w:leader="none" w:pos="1100" w:val="left"/>
        </w:tabs>
        <w:numPr>
          <w:ilvl w:val="1"/>
          <w:numId w:val="22"/>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12 weeks for compensated cirrhosis: </w:t>
      </w:r>
      <w:r>
        <w:rPr>
          <w:rFonts w:ascii="Arial" w:cs="Arial" w:eastAsia="Arial" w:hAnsi="Arial"/>
          <w:sz w:val="18"/>
          <w:szCs w:val="18"/>
          <w:color w:val="auto"/>
        </w:rPr>
        <w:t>Data from AbbVie’s EXPEDITION-1 study were also presented at the 2017 ILC, demonstrating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99% of HCV-infected patients with genotype 1, 2, 4, 5 or 6 and compensated cirrhosis (Child-Pugh A) achieved SVR</w:t>
      </w:r>
      <w:r>
        <w:rPr>
          <w:rFonts w:ascii="Arial" w:cs="Arial" w:eastAsia="Arial" w:hAnsi="Arial"/>
          <w:sz w:val="15"/>
          <w:szCs w:val="15"/>
          <w:color w:val="auto"/>
        </w:rPr>
        <w:t>12</w:t>
      </w:r>
      <w:r>
        <w:rPr>
          <w:rFonts w:ascii="Arial" w:cs="Arial" w:eastAsia="Arial" w:hAnsi="Arial"/>
          <w:sz w:val="18"/>
          <w:szCs w:val="18"/>
          <w:color w:val="auto"/>
        </w:rPr>
        <w:t xml:space="preserve"> following 12 weeks of MAVYRET/MAVIRET treatment without ribavirin.</w:t>
      </w:r>
    </w:p>
    <w:p>
      <w:pPr>
        <w:spacing w:after="0" w:line="82" w:lineRule="exact"/>
        <w:rPr>
          <w:rFonts w:ascii="Courier New" w:cs="Courier New" w:eastAsia="Courier New" w:hAnsi="Courier New"/>
          <w:sz w:val="18"/>
          <w:szCs w:val="18"/>
          <w:color w:val="auto"/>
        </w:rPr>
      </w:pPr>
    </w:p>
    <w:p>
      <w:pPr>
        <w:ind w:left="520" w:right="120" w:hanging="519"/>
        <w:spacing w:after="0" w:line="23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AbbVie’s initial HCV treatment regimens currently marketed in the U.S., EU, Japan and other countries around the world under the trade names VIEKIRA PAK</w:t>
      </w:r>
      <w:r>
        <w:rPr>
          <w:rFonts w:ascii="Arial" w:cs="Arial" w:eastAsia="Arial" w:hAnsi="Arial"/>
          <w:sz w:val="21"/>
          <w:szCs w:val="21"/>
          <w:color w:val="auto"/>
          <w:vertAlign w:val="superscript"/>
        </w:rPr>
        <w:t>®</w:t>
      </w:r>
      <w:r>
        <w:rPr>
          <w:rFonts w:ascii="Arial" w:cs="Arial" w:eastAsia="Arial" w:hAnsi="Arial"/>
          <w:sz w:val="18"/>
          <w:szCs w:val="18"/>
          <w:color w:val="auto"/>
        </w:rPr>
        <w:t>, VIEKIRAX</w:t>
      </w:r>
      <w:r>
        <w:rPr>
          <w:rFonts w:ascii="Arial" w:cs="Arial" w:eastAsia="Arial" w:hAnsi="Arial"/>
          <w:sz w:val="21"/>
          <w:szCs w:val="21"/>
          <w:color w:val="auto"/>
          <w:vertAlign w:val="superscript"/>
        </w:rPr>
        <w:t>®</w:t>
      </w:r>
      <w:r>
        <w:rPr>
          <w:rFonts w:ascii="Arial" w:cs="Arial" w:eastAsia="Arial" w:hAnsi="Arial"/>
          <w:sz w:val="12"/>
          <w:szCs w:val="12"/>
          <w:color w:val="auto"/>
        </w:rPr>
        <w:t>,</w:t>
      </w:r>
      <w:r>
        <w:rPr>
          <w:rFonts w:ascii="Arial" w:cs="Arial" w:eastAsia="Arial" w:hAnsi="Arial"/>
          <w:sz w:val="18"/>
          <w:szCs w:val="18"/>
          <w:color w:val="auto"/>
        </w:rPr>
        <w:t xml:space="preserve"> VIEKIRAX XR™ and TECHNIVIE</w:t>
      </w:r>
      <w:r>
        <w:rPr>
          <w:rFonts w:ascii="Arial" w:cs="Arial" w:eastAsia="Arial" w:hAnsi="Arial"/>
          <w:sz w:val="21"/>
          <w:szCs w:val="21"/>
          <w:color w:val="auto"/>
          <w:vertAlign w:val="superscript"/>
        </w:rPr>
        <w:t>®</w:t>
      </w:r>
      <w:r>
        <w:rPr>
          <w:rFonts w:ascii="Arial" w:cs="Arial" w:eastAsia="Arial" w:hAnsi="Arial"/>
          <w:sz w:val="18"/>
          <w:szCs w:val="18"/>
          <w:color w:val="auto"/>
        </w:rPr>
        <w:t>. First approved and sold in the U.S. in December 2014 for treatment of GT-1 HCV, AbbVie’s HCV regimens containing paritaprevir are now also approved for GT-4 HCV.</w:t>
      </w:r>
    </w:p>
    <w:p>
      <w:pPr>
        <w:spacing w:after="0" w:line="200" w:lineRule="exact"/>
        <w:rPr>
          <w:sz w:val="20"/>
          <w:szCs w:val="20"/>
          <w:color w:val="auto"/>
        </w:rPr>
      </w:pPr>
    </w:p>
    <w:p>
      <w:pPr>
        <w:spacing w:after="0" w:line="3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449"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5179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65850" cy="517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currently funding all research and development for our wholly owned programs. We expect to incur substantially greater expenses as we continue to advance our FXR agonist program for NASH and PBC. We have completed a Phase 1 study and initiated a Phase 2 study in PBC patients in calendar 2017 and have recently initiated recruitment of a Phase 2 study in NASH patients. We also initiated a Phase 1 clinical study of our lead RSV candidate, EDP-938, in the fourth quarter of calendar 2017 and plan to initiate a Phase 2a challenge study in RSV in the second half of 2018. We expect to increase expenses in fiscal 2018 as we conduct these clinical studies and advance other compounds into substantial preclinical development.</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Since going public in 2013, we have devoted substantially all of our resources to the discovery and development of novel compounds for the treatment of viral infections and liver diseases. For the periods included in this report we have funded our operations primarily through payments received under our collaboration agreement with AbbVie. Our revenue in the near term will continue to be dependent on our royalty payments from our collaboration with AbbVie.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its new MAVYRET/MAVIRET regimen, which in the majority of chronic HCV patients only requires 8 weeks of treatment compared to 12 weeks with VIEKIRA PAK, AbbVie has initially set a lower list price compared to its original HCV regimens and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20" w:name="page21"/>
    <w:bookmarkEnd w:id="20"/>
    <w:p>
      <w:pPr>
        <w:jc w:val="both"/>
        <w:ind w:right="40"/>
        <w:spacing w:after="0" w:line="264" w:lineRule="auto"/>
        <w:rPr>
          <w:sz w:val="20"/>
          <w:szCs w:val="20"/>
          <w:color w:val="auto"/>
        </w:rPr>
      </w:pPr>
      <w:r>
        <w:rPr>
          <w:rFonts w:ascii="Arial" w:cs="Arial" w:eastAsia="Arial" w:hAnsi="Arial"/>
          <w:sz w:val="18"/>
          <w:szCs w:val="18"/>
          <w:color w:val="auto"/>
        </w:rPr>
        <w:t>other HCV products on the market. As MAVYRET/MAVIRET replaces AbbVie’s paritaprevir-containing regimens over the next several quarters, AbbVie is seeking to increase its HCV market share through this pricing and the favorable treatment characteristics of the new regimen. It is still too early to know how successful AbbVie’s efforts will be.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continuing collaboration agreement with AbbVie.</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Beginning in our fiscal year ended September 30, 2015, we have generated royalty revenue from AbbVie’s net sales allocable to our protease inhibitors, including paritaprevir, which is part of AbbVie’s initial treatment regimens for HCV approved in the U.S. in December 2014 and in the EU and dozens of other countries since then. During the quarter ended September 30, 2017, AbbVie received approvals of its new HCV regimen containing glecaprevir in the U.S. and EU and began commercializing the combination under the tradenames MAVYRET™ in the U.S. and MAVIRET™ outside the U.S.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revenue recognized from our collaboration agreement for the three months ended December 31, 2017 and 2016:</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34"/>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18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3240" w:type="dxa"/>
            <w:vAlign w:val="bottom"/>
            <w:gridSpan w:val="2"/>
          </w:tcPr>
          <w:p>
            <w:pPr>
              <w:jc w:val="right"/>
              <w:ind w:right="12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23,109</w:t>
            </w:r>
          </w:p>
        </w:tc>
        <w:tc>
          <w:tcPr>
            <w:tcW w:w="460" w:type="dxa"/>
            <w:vAlign w:val="bottom"/>
          </w:tcPr>
          <w:p>
            <w:pPr>
              <w:spacing w:after="0"/>
              <w:rPr>
                <w:sz w:val="19"/>
                <w:szCs w:val="19"/>
                <w:color w:val="auto"/>
              </w:rPr>
            </w:pPr>
          </w:p>
        </w:tc>
        <w:tc>
          <w:tcPr>
            <w:tcW w:w="66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10,417</w:t>
            </w:r>
          </w:p>
        </w:tc>
        <w:tc>
          <w:tcPr>
            <w:tcW w:w="500" w:type="dxa"/>
            <w:vAlign w:val="bottom"/>
          </w:tcPr>
          <w:p>
            <w:pPr>
              <w:spacing w:after="0"/>
              <w:rPr>
                <w:sz w:val="19"/>
                <w:szCs w:val="19"/>
                <w:color w:val="auto"/>
              </w:rPr>
            </w:pPr>
          </w:p>
        </w:tc>
      </w:tr>
      <w:tr>
        <w:trPr>
          <w:trHeight w:val="230"/>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18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8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5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Since all of our research obligations under the AbbVie agreement were concluded by June 30, 2011, all milestone payments received since then have been recognized as revenue upon achievement of each milestone by AbbVie. During the three months ended December 31, 2017, we earned and recognized as revenue the last milestone payment for glecaprevir, which was a $15.0 million milestone payment upon AbbVie’s achievement of commercialization regulatory approval of MAVIRET™ in Japan. We did not earn any milestones during the same period in 2016.</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also receive annually tiered, double-digit royalties per protease inhibitor product on AbbVie’s net sales allocable to either of our collaboration’s protease inhibitors.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 We expect that our revenue for 2018 and the next several years will be derived from royalties under our current collaboration agreement with AbbVie, as well as any additional collaboration that we may enter into in the future.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2017 and 2016:</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17,962</w:t>
            </w:r>
          </w:p>
        </w:tc>
        <w:tc>
          <w:tcPr>
            <w:tcW w:w="8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3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23,732</w:t>
            </w:r>
          </w:p>
        </w:tc>
        <w:tc>
          <w:tcPr>
            <w:tcW w:w="3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3" w:lineRule="exact"/>
        <w:rPr>
          <w:sz w:val="20"/>
          <w:szCs w:val="20"/>
          <w:color w:val="auto"/>
        </w:rPr>
      </w:pPr>
    </w:p>
    <w:p>
      <w:pPr>
        <w:ind w:left="1040" w:right="9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NASH, PBC,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Other income (expense), net, consists of interest income, interest expense and the change in fair value of our Series 1 nonconvertible preferred stock and the change in fair value of our outstanding warrant liability in 2017. Interest income consists of interest earned on our cash equivalents and short-term and long-term marketable securities balances as well as interest earned for refunds received from tax authorities. Interest expense consists of interest expense related to our capital lease obligation. The change in fair value of our outstanding warrant liability and Series 1 nonconvertible preferred stock relates to the remeasurement of these financial instruments from period to period as these instruments may require a transfer of assets because of the liquidation preference features of the underlying stock. The change in fair value also includes any forfeiture of unexercised warrants which expired on October 4,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tax (expense) benefit is based on our best estimate of applicable income tax rates for the entire fiscal year applied to pre-tax profit or loss reported for the year-to-date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2017 (referred to as our 2017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2017 aside from the adoption of ASU 2016-09 in the first quarter of fiscal 2018. For further information, please see the discussion of critical accounting policies included in our 2017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left="41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38,109</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10,417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17,962</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12,526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5,770</w:t>
            </w:r>
          </w:p>
        </w:tc>
        <w:tc>
          <w:tcPr>
            <w:tcW w:w="4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960</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(3,644)</w:t>
            </w:r>
          </w:p>
        </w:tc>
        <w:tc>
          <w:tcPr>
            <w:tcW w:w="4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740" w:type="dxa"/>
            <w:vAlign w:val="bottom"/>
          </w:tcPr>
          <w:p>
            <w:pPr>
              <w:spacing w:after="0"/>
              <w:rPr>
                <w:sz w:val="19"/>
                <w:szCs w:val="19"/>
                <w:color w:val="auto"/>
              </w:rPr>
            </w:pPr>
          </w:p>
        </w:tc>
      </w:tr>
      <w:tr>
        <w:trPr>
          <w:trHeight w:val="648"/>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20" w:type="dxa"/>
            <w:vAlign w:val="bottom"/>
          </w:tcPr>
          <w:p>
            <w:pPr>
              <w:jc w:val="right"/>
              <w:ind w:right="127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23,109</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10,417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recognized revenue of $38.1 million during the three months ended December 31, 2017 as compared to $10.4 million during the three months ended December 31, 2016. During the three months ended December 31, 2017, revenue consisted of a $15.0 million milestone earned upon AbbVie’s achievement of commercialization regulatory approval of MAVIRET™ in Japan, as well as royalties earned on the portion of AbbVie’s net sales of its HCV treatment regimens allocable to glecaprevir or paritaprevir. During the three months ended December 31, 2016, our revenue consisted of royalties earned on the portion of AbbVie’s net sales of its HCV treatment regimens allocable to paritaprevir.</w:t>
      </w:r>
    </w:p>
    <w:p>
      <w:pPr>
        <w:spacing w:after="0" w:line="6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revenue is generated through our collaboration with AbbVie. Our collaboration’s new MAVYRET/MAVIRET regimen, a pan-genotypic treatment combining two DAAs, began commercialization in the third calendar quarter of 2017, following its approval in the EU and the U.S. We are entitled to annually tiered, double-digit, per-product royalties on 50% of all net sales of MAVYRET/MAVIRET. Our royalty revenues eligible to be earned in the future will potentially fluctuate depending on AbbVie’s HCV market share, the pricing of the MAVYRET/MAVIRET regimen and number of patients treated.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10,710</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5,912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Research and development expenses increased $5.4 million for the three months ended December 31, 2017 as compared to the same period in 2016. The increase was primarily due to progression of preclinical and clinical activities in our liver disease and virology programs. Increases were driven by an increase in headcount to support our preclinical activities and an increase in external costs for clinical and preclinical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General and administrative expenses increased by $0.8 million for the three months ended December 31, 2017 as compared to the same period in 2016. The increase was primarily due to an increase in compensation expense due to increased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income (expense), net, increased $0.4 million for the three months ended December 31, 2017 as compared to the same period in 2016 due to an increase in interest income due to higher average investment balances and changes in interest rates for the period ended December 31, 2017 as compared to the same period in 2016. In addition, we recognized an increase to other income (expense), net, of less than $0.1 million as a result of the expiration of unexercised warrants during the three months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the three months ended December 31, 2017 and 2016, we recorded an income tax (expense) benefit of $(3.6) million and $1.5 million, respectively. During the three months ended December 31, 2017, our income tax expense included a revaluation adjustment against deferred tax assets of $(3.8) million due to a decrease in the federal corporate income tax rate as enacted under the U.S. Tax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ind w:right="40"/>
        <w:spacing w:after="0" w:line="279" w:lineRule="auto"/>
        <w:rPr>
          <w:sz w:val="20"/>
          <w:szCs w:val="20"/>
          <w:color w:val="auto"/>
        </w:rPr>
      </w:pPr>
      <w:r>
        <w:rPr>
          <w:rFonts w:ascii="Arial" w:cs="Arial" w:eastAsia="Arial" w:hAnsi="Arial"/>
          <w:sz w:val="17"/>
          <w:szCs w:val="17"/>
          <w:color w:val="auto"/>
        </w:rPr>
        <w:t>Cuts and Jobs Act (the “Tax Act”). We also recorded an income tax benefit of $0.2 million primarily related to tax deductions for stock option activity which is now recorded in income tax expense (benefit) due to the adoption of ASU 2016-09 during the first quarter of fiscal 2018. For the three months ended December 31, 2016, we recorded an income tax benefit due to the Company’s loss before income taxes for the quarter as well as federal research and development tax credits which reduced taxes payable and were reflected in the Company’s annual effective tax rate.</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Estimates used to prepare our income tax expense during the three months ended December 31 2017 are based on our initial analysis of the Tax Act. Given the complexity of the Tax Act, anticipated guidance from the U.S. Treasury regarding implementation of the act, and potential for guidance from</w:t>
      </w:r>
    </w:p>
    <w:p>
      <w:pPr>
        <w:ind w:right="180"/>
        <w:spacing w:after="0" w:line="261" w:lineRule="auto"/>
        <w:rPr>
          <w:sz w:val="20"/>
          <w:szCs w:val="20"/>
          <w:color w:val="auto"/>
        </w:rPr>
      </w:pPr>
      <w:r>
        <w:rPr>
          <w:rFonts w:ascii="Arial" w:cs="Arial" w:eastAsia="Arial" w:hAnsi="Arial"/>
          <w:sz w:val="18"/>
          <w:szCs w:val="18"/>
          <w:color w:val="auto"/>
        </w:rPr>
        <w:t>the Securities and Exchange Commission or the Financial Accounting Standards Board related to the act, these estimates may be adjusted during our fiscal 2018 to reflect any such guidance provided.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December 31, 2017, our principal sources of liquidity were cash, cash equivalents and short-term and long-term marketable securities totaling $297.5 million.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our inception through December 31, 2017, we have financed our operations primarily through payments under our collaborations, government research and development contracts and grants, and the net proceeds from our initial public offering of our equity in March 2013. The following table shows a summary of our cash flows for the three months ended December 31, 2017 and 2016:</w:t>
      </w:r>
    </w:p>
    <w:p>
      <w:pPr>
        <w:spacing w:after="0" w:line="34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vMerge w:val="restart"/>
          </w:tcPr>
          <w:p>
            <w:pPr>
              <w:ind w:left="240"/>
              <w:spacing w:after="0"/>
              <w:rPr>
                <w:sz w:val="20"/>
                <w:szCs w:val="20"/>
                <w:color w:val="auto"/>
              </w:rPr>
            </w:pPr>
            <w:r>
              <w:rPr>
                <w:rFonts w:ascii="Arial" w:cs="Arial" w:eastAsia="Arial" w:hAnsi="Arial"/>
                <w:sz w:val="18"/>
                <w:szCs w:val="18"/>
                <w:color w:val="auto"/>
              </w:rPr>
              <w:t>Cash provided by (used in):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activities</w:t>
            </w:r>
          </w:p>
        </w:tc>
        <w:tc>
          <w:tcPr>
            <w:tcW w:w="11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w:t>
            </w:r>
          </w:p>
        </w:tc>
        <w:tc>
          <w:tcPr>
            <w:tcW w:w="6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500"/>
              <w:spacing w:after="0"/>
              <w:rPr>
                <w:sz w:val="20"/>
                <w:szCs w:val="20"/>
                <w:color w:val="auto"/>
              </w:rPr>
            </w:pPr>
            <w:r>
              <w:rPr>
                <w:rFonts w:ascii="Arial" w:cs="Arial" w:eastAsia="Arial" w:hAnsi="Arial"/>
                <w:sz w:val="18"/>
                <w:szCs w:val="18"/>
                <w:color w:val="auto"/>
              </w:rPr>
              <w:t>Investing activities</w:t>
            </w:r>
          </w:p>
        </w:tc>
        <w:tc>
          <w:tcPr>
            <w:tcW w:w="1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(2,448)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Financing activities</w:t>
            </w:r>
          </w:p>
        </w:tc>
        <w:tc>
          <w:tcPr>
            <w:tcW w:w="11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6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 in cash provided by operating activities of $1.3 million for the three months ended December 31, 2017 as compared to the same period in 2016 is driven primarily by timing of payments received under our collaboration with AbbVie year over year, which were substantially offset by increased expenditures in research and development in order to progress clinical development and preclinical research in our proprietary programs. We received $25.6 million during the three months ended December 31, 2017 from AbbVie, including royalties and a $15.0 million milestone payment, compared to $12.8 million in cash during three months ended December 31, 2016 which consisted exclusively of royalties. In addition, our cash taxes paid decreased by $1.0 million due to timing of estimated tax payments.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decrease in cash provided by investing activities of $3.3 million for the three months ended December 31, 2017 as compared to the same period in 2016 was driven by the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increase in net cash provided by financing activities of $0.4 million for the three months ended December 31, 2017 as compared to the same period in 2016 was driven by an increase in exercises of stock options during the three months ended December 31, 2017 as compared to the same period in 2016.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2017, we had $297.5 million in cash, cash equivalents and short-term and long-term marketable securities. We believe that our existing cash, cash equivalents and marketable securities as of December 31, 2017 will be sufficient to meet our anticipated cash requirements for the foreseeable future. However, our forecast of the period of time through which our financial</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5" w:name="page26"/>
    <w:bookmarkEnd w:id="25"/>
    <w:p>
      <w:pPr>
        <w:ind w:right="600"/>
        <w:spacing w:after="0" w:line="277" w:lineRule="auto"/>
        <w:rPr>
          <w:sz w:val="20"/>
          <w:szCs w:val="20"/>
          <w:color w:val="auto"/>
        </w:rPr>
      </w:pPr>
      <w:r>
        <w:rPr>
          <w:rFonts w:ascii="Arial" w:cs="Arial" w:eastAsia="Arial" w:hAnsi="Arial"/>
          <w:sz w:val="18"/>
          <w:szCs w:val="18"/>
          <w:color w:val="auto"/>
        </w:rPr>
        <w:t>resources will be adequate to support our operations is a forward-looking statement that involves risks and uncertainties, and actual results could vary materially.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5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hanging="55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5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therapeutic candidates and therapies;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amount of royalties on glecaprevir and paritaprevir and any sales of our product candidates, if any, or royalties thereon;</w:t>
      </w:r>
    </w:p>
    <w:p>
      <w:pPr>
        <w:spacing w:after="0" w:line="128" w:lineRule="exact"/>
        <w:rPr>
          <w:rFonts w:ascii="Arial" w:cs="Arial" w:eastAsia="Arial" w:hAnsi="Arial"/>
          <w:sz w:val="17"/>
          <w:szCs w:val="17"/>
          <w:color w:val="auto"/>
        </w:rPr>
      </w:pPr>
    </w:p>
    <w:p>
      <w:pPr>
        <w:ind w:left="1040" w:hanging="55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480" w:hanging="55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80" w:hanging="55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hanging="55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00" w:hanging="55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2017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three months ended December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$297.5 million at December 31, 2017 consisting of cash, money market funds, commercial paper, corporate bonds and government securities. Interest income is sensitive to changes in the general level of interest rates; however, due to the nature of these investments, a 1% change in market interest rates would not be expected to have a material impact on our financial condition or results of operations. Other than our capital lease obligation, we had no debt outstanding as of December 31, 2017.</w:t>
      </w: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95"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400"/>
          </w:cols>
          <w:pgMar w:left="240" w:top="328" w:right="25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60"/>
          </w:cols>
          <w:pgMar w:left="240" w:top="328" w:right="259" w:bottom="1440" w:gutter="0" w:footer="0" w:header="0"/>
          <w:type w:val="continuous"/>
        </w:sectPr>
      </w:pPr>
    </w:p>
    <w:p>
      <w:pPr>
        <w:spacing w:after="0" w:line="254" w:lineRule="auto"/>
        <w:rPr>
          <w:sz w:val="20"/>
          <w:szCs w:val="20"/>
          <w:color w:val="auto"/>
        </w:rPr>
      </w:pPr>
      <w:r>
        <w:rPr>
          <w:rFonts w:ascii="Arial" w:cs="Arial" w:eastAsia="Arial" w:hAnsi="Arial"/>
          <w:sz w:val="18"/>
          <w:szCs w:val="18"/>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3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statement of risk factors provided in this Item 1A includes any material changes to and supersedes the statement of risk factors associated with our business previously disclosed in Item 1A of our Annual Report on Form 10-K for the fiscal year ended September 30, 2017 filed on December 11, 2017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our protease inhibitors paritaprevir or glecaprevir for the treatment of HCV. AbbVie may act in its best interest rather than in our best interest, which could adversely affect our business.</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rely on AbbVie to fund and conduct the clinical development and commercialization of regimens containing paritaprevir or glecaprevir (our second protease inhibitor, which is one of the two DAAs in AbbVie’s MAVYRET/MAVIRET treatment), over which we have granted AbbVie complete control. Our ability to generate significant revenue in the near term will depend primarily on the success of AbbVie’s continued efforts to commercialize its paritaprevir-containing regimens in markets worldwide, as well as the successful marketing launch and commercialization by AbbVie of MAVYRET/MAVIRET. Such successes are subject to significant uncertainty, and we have no control over the resources, time and effort that AbbVie may devote to its regimens containing paritaprevir or glecaprevir. Any of several events or factors could have a material adverse effect on our ability to generate revenue from AbbVie’s commercialization of paritaprevir or glecaprevir in combination therapies. For example, AbbVie:</w:t>
      </w:r>
    </w:p>
    <w:p>
      <w:pPr>
        <w:spacing w:after="0" w:line="70" w:lineRule="exact"/>
        <w:rPr>
          <w:sz w:val="20"/>
          <w:szCs w:val="20"/>
          <w:color w:val="auto"/>
        </w:rPr>
      </w:pPr>
    </w:p>
    <w:p>
      <w:pPr>
        <w:ind w:left="1040" w:right="100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may not achieve satisfactory levels of market acceptance and reimbursement by physicians, patients and third-party payers for the MAVYRET/MAVIRET regimen in the various markets of the world where it is being introduced and sold by AbbVie;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experience different competitive challenges and market opportunity for its paritaprevir-containing regimens as it begins to commercialize its MAVYRET/MAVIRET HCV regimen containing glecaprevir;</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regimens containing paritaprevir or glecaprevir;</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28" w:name="page29"/>
    <w:bookmarkEnd w:id="28"/>
    <w:p>
      <w:pPr>
        <w:ind w:left="1040" w:right="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or be commercially unsuccessful. In addition, AbbVie has the right to make decisions regarding the development and commercialization of licensed products without consulting us, and may make decisions with which we do not agree. If AbbVie acts in a manner that is not in our best interest, then it could adversely affect our business and prospects.</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increase and maintain sales of these regimens above current levels of sales, our royalty revenues and results of operations would be adversely affected.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quarterly royalty revenue from AbbVie’s net sales of HCV treatment regimens containing paritaprevir has declined since those sales peaked in the first quarter of our fiscal 2016. AbbVie has priced the MAVYRET/MAVIRET regimen well below the pricing of its first HCV regimens, and below that of its principal competitor, which means AbbVie will need to capture significant increases in market share to maintain or increase its HCV net sales and our royalty revenues. While commercialization of these regimens is exclusively in AbbVie’s control without any input from us, we believe it is possible that prices will decline further due to payers obtaining additional discounts or competitive market dynamics and that there may be fluctuation in AbbVie’s market share over time due to competitive actions by its principal competitor, Gilead. We also note Gilead has reported a decline year over year across most major geographic markets in the number of new patients starting on DAA treatments for HCV.</w:t>
      </w:r>
    </w:p>
    <w:p>
      <w:pPr>
        <w:spacing w:after="0" w:line="17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regimens from their formulary coverage lists or limit the types of patients for whom coverage will be provided. Any such change in formulary coverage, discounts or rebates or reimbursement for AbbVie’s HCV regimens would negatively affect the demand for such regimens and our royalty revenues from them.</w:t>
      </w:r>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HBV and RSV, as well as other liver diseases and viral infections, which may result in others discovering, developing or commercializing products before we do or doing so more successfully than we do.</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HBV, RSV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more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expect AbbVie’s HCV treatment regimens containing any of our licensed protease inhibitors to continue to face intense competition due to existing approved products in the HCV market. AbbVie’s HCV treatment regimens currently face competition in various world markets and subpopulations of HCV from Gilead’s Sovaldi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(sofosbuvir), Harvoni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fixed-dose combination of sofosbuvir and ledipasvirm), Epclusa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 dose combination of sofosbuvir and velpatasvir) and Vosevi™ (a triple combination therapy of sofosbuvir, velpatasvir and voxilaprevir approved by the FDA in July 2017 for specified sofosbuvir -treatment failures and NS5A-inhibitor treatment failures); and to a lesser extent - Merck’s Zepatier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 fixed-dose combination of grazoprevir and elbasvir);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right="40"/>
        <w:spacing w:after="0" w:line="264" w:lineRule="auto"/>
        <w:rPr>
          <w:sz w:val="20"/>
          <w:szCs w:val="20"/>
          <w:color w:val="auto"/>
        </w:rPr>
      </w:pPr>
      <w:r>
        <w:rPr>
          <w:rFonts w:ascii="Arial" w:cs="Arial" w:eastAsia="Arial" w:hAnsi="Arial"/>
          <w:sz w:val="17"/>
          <w:szCs w:val="17"/>
          <w:color w:val="auto"/>
        </w:rPr>
        <w:t>Bristol-Myers Squibb’s Daklinza™ (daclatasvir) and daclatasvir in combination with asunaprevir; and Johnson &amp; Johnson’s Olysio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(simeprevir).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8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also expect our other product candidates to face intense and increasing competition in the NASH and antiviral markets and as advanced technologies and products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Gilead, and Tobira (Allergan). In May 2016, the FDA granted conditional approval for Intercept’s FXR agonist (brand name Ocaliva</w:t>
      </w:r>
      <w:r>
        <w:rPr>
          <w:rFonts w:ascii="Arial" w:cs="Arial" w:eastAsia="Arial" w:hAnsi="Arial"/>
          <w:sz w:val="21"/>
          <w:szCs w:val="21"/>
          <w:color w:val="auto"/>
          <w:vertAlign w:val="superscript"/>
        </w:rPr>
        <w:t>®</w:t>
      </w:r>
      <w:r>
        <w:rPr>
          <w:rFonts w:ascii="Arial" w:cs="Arial" w:eastAsia="Arial" w:hAnsi="Arial"/>
          <w:sz w:val="16"/>
          <w:szCs w:val="16"/>
          <w:color w:val="auto"/>
        </w:rPr>
        <w:t>) for the treatment of primary biliary cholangitis (PBC) in combination with first line therapy UDCA in adults with an inadequate response to UDCA, or as monotherapy in adults unable to tolerate UDCA. In addition, a number of companies are in Phase 2 clinical trials for NASH or related conditions. These companies include Alberio, Arisaph, Astra-Zeneca, BMS, Boehringer Ingelheim, Conatus, Cirius, Galectin, Galmed, Gilead, GlaxoSmithKline, Immuron, Inventiva, Madrigal, Medicinova, Novartis, NGM, Novo Nordisk, Pfizer, Shire, and Viking. A significant number of other companies are conducting earlier clinical trials that may be applicable in NASH and other cholestatic diseases, including Bird Rock Bio, Arena Pharmaceuticals, Fast Forward Pharmaceuticals, Can-Fite Biopharma, Cymabay, Durect, Genkyotex, Ionis, Islet, Verlyx, and Zydus</w:t>
      </w:r>
      <w:r>
        <w:rPr>
          <w:rFonts w:ascii="Arial" w:cs="Arial" w:eastAsia="Arial" w:hAnsi="Arial"/>
          <w:sz w:val="13"/>
          <w:szCs w:val="13"/>
          <w:color w:val="auto"/>
        </w:rPr>
        <w:t>.</w:t>
      </w:r>
      <w:r>
        <w:rPr>
          <w:rFonts w:ascii="Arial" w:cs="Arial" w:eastAsia="Arial" w:hAnsi="Arial"/>
          <w:sz w:val="16"/>
          <w:szCs w:val="16"/>
          <w:color w:val="auto"/>
        </w:rPr>
        <w:t xml:space="preserve"> There are also additional companies conducting preclinical studies in these disease areas.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HEC, Ionis, Johnson &amp; Johnson, Maxwell, Replicor, Roche and Spring Bank have Phase 2 programs in progress, with many of these companies conducting earlier stage programs as well. In addition, a number of companies have Phase 1 or earlier stage HBV programs, including Aicuris, Alnylam, Altimmune, Assembly, Enyo and Transgene.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as does Ablynx with a potential therapeutic antibody.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AbbVie has been and will continue to be responsible for all of the clinical development of our paritaprevir and glecaprevir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HBV and RSV programs, we will need to successfully:</w:t>
      </w:r>
    </w:p>
    <w:p>
      <w:pPr>
        <w:spacing w:after="0" w:line="63" w:lineRule="exact"/>
        <w:rPr>
          <w:sz w:val="20"/>
          <w:szCs w:val="20"/>
          <w:color w:val="auto"/>
        </w:rPr>
      </w:pPr>
    </w:p>
    <w:p>
      <w:pPr>
        <w:ind w:left="1040" w:right="1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EDP-305 and EDP-938, our ability to expand our business and achieve our strategic objectives will be impaired.</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3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results of operations to fluctuate from period to period, which may result in losses.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Many of the preclinical and clinical development activities required for our product candidates have to be contracted out to contract research organizations (CROs) at significant expense. We expect these expenses to increase substantially in the coming year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ind w:right="2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 and our ability to achieve sustained profitability is unproven.</w:t>
      </w:r>
    </w:p>
    <w:p>
      <w:pPr>
        <w:spacing w:after="0" w:line="3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each of our 2017, 2016, 2015 and 2014 fiscal years our net income resulted primarily from license payments, including milestone payments we earned from AbbVie and royalties we earned since December 2014 on net sales of AbbVie’s HCV regimens allocated to our protease inhibitors included in those regimens. There is no assurance, however, that we will report net income in subsequent years. To date, we have not commercialized any products ourselves.</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products containing paritaprevir or glecaprevir are uncertain given the competitive nature of the market for HCV therapies, price competition, the changing nature of payer contracts of AbbVie and others, and the varying rates of reimbursement in different countries. At any time, AbbVie may choose not to continue its commercialization activities for the MAVYRET/MAVIRET regimen or that regimen may not be accepted in the market.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7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We may require substantial additional financing in the longer term to achieve our goals if the further commercialization of paritaprevir containing regimens is curtailed or if any launch or commercialization of MAVYRET/MAVIRET is not successful. A failure to obtain this necessary capital when needed could force us to delay, limit, reduce or terminate some or all of our product development efforts.</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AbbVie in developing MAVYRET/MAVIRET. In addition, we may seek opportunities to in-license or otherwise acquire new therapeutic candidates and therapies.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2" w:name="page33"/>
    <w:bookmarkEnd w:id="32"/>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receipt and amount of royalties on paritaprevir and glecaprevir and any sales of our product candidates, if any, or royalties thereon;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U.S. Tax Cuts and Jobs Act enacted in December 2017 includes significant changes from current tax legislation which could result in significant changes to our future tax positions.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U.S. Tax Cuts and Jobs Act (the “Tax Act”) enacted in December 2017 contains many provisions which differ from current tax law. These changes include, but are not limited to, the reduction in the federal corporate income tax rate from 35% to 21%, the elimination of a corporation’s ability to carryback net operating losses to prior taxable income periods and the elimination of the deductibility of certain performance-based equity awards under Section 162(m). We accounted for the Tax Act during the three months ended December 31, 2017 which resulted in an adjustment that decreased our deferred tax assets by $3.8 million due to the reduction of the federal corporate income tax rate from 35% to 21%. Estimates used to prepare our income tax expense during the quarter are based on our initial analysis of the Tax Act. Given the complexity of the act, anticipated guidance from the U.S. Treasury regarding implementation of the act, and potential for guidance from the Securities and Exchange Commission or the Financial Accounting Standards Board related to the act, these estimates may be adjusted during our fiscal 2018 to reflect any such guidance provided.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2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NASH, PBC, RSV or HBV;</w:t>
      </w:r>
    </w:p>
    <w:p>
      <w:pPr>
        <w:spacing w:after="0" w:line="62" w:lineRule="exact"/>
        <w:rPr>
          <w:rFonts w:ascii="Arial" w:cs="Arial" w:eastAsia="Arial" w:hAnsi="Arial"/>
          <w:sz w:val="18"/>
          <w:szCs w:val="18"/>
          <w:color w:val="auto"/>
        </w:rPr>
      </w:pPr>
    </w:p>
    <w:p>
      <w:pPr>
        <w:ind w:left="1040" w:right="320" w:hanging="519"/>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expect that the further development of successful therapies in our principal disease areas of NASH, RSV and HBV may require combining one or more of our compounds with other compounds with different mechanisms of action. To advance our programs and achieve favorable opportunities for any such combinations we may conduct preclinical testing, as well as clinical testing, with one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220"/>
        <w:spacing w:after="0" w:line="257" w:lineRule="auto"/>
        <w:rPr>
          <w:sz w:val="20"/>
          <w:szCs w:val="20"/>
          <w:color w:val="auto"/>
        </w:rPr>
      </w:pPr>
      <w:r>
        <w:rPr>
          <w:rFonts w:ascii="Arial" w:cs="Arial" w:eastAsia="Arial" w:hAnsi="Arial"/>
          <w:sz w:val="18"/>
          <w:szCs w:val="18"/>
          <w:color w:val="auto"/>
        </w:rPr>
        <w:t>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29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EDP-305, EDP-938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1"/>
          <w:szCs w:val="21"/>
          <w:color w:val="auto"/>
          <w:vertAlign w:val="superscript"/>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3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160"/>
        <w:spacing w:after="0" w:line="277" w:lineRule="auto"/>
        <w:rPr>
          <w:sz w:val="20"/>
          <w:szCs w:val="20"/>
          <w:color w:val="auto"/>
        </w:rPr>
      </w:pPr>
      <w:r>
        <w:rPr>
          <w:rFonts w:ascii="Arial" w:cs="Arial" w:eastAsia="Arial" w:hAnsi="Arial"/>
          <w:sz w:val="18"/>
          <w:szCs w:val="18"/>
          <w:color w:val="auto"/>
        </w:rPr>
        <w:t>EMA or other regulatory agencies denying further development or approval of our product candidates for any or all targeted indications. This, in turn, could prevent us from commercializing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 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 the EMA or other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jc w:val="both"/>
        <w:ind w:right="240"/>
        <w:spacing w:after="0" w:line="288"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6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glecaprevir without consulting us, and may make decisions with which we do not agree.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MAVYRET/MAVIRET, or even if we are able to commercialize any other treatment regimen containing one of our product candidates from any of our proprietary discovery programs, MAVYRET/MAVIRET or the resulting products, as the case may be,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or any amendment to it will continue to have in general or specifically on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18 that have rejected the expansion of Medicaid eligibility for low income citizens, and some members of the U.S. Congress are still working to repeal the ACA. More recently, President Trump and the Republican majorities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on AbbVie’s commercialization of its HCV regimens.</w:t>
      </w:r>
    </w:p>
    <w:p>
      <w:pPr>
        <w:spacing w:after="0" w:line="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Our ability to commercialize any product candidate successfully, as well as AbbVie’s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5"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r>
        <w:rPr>
          <w:rFonts w:ascii="Arial" w:cs="Arial" w:eastAsia="Arial" w:hAnsi="Arial"/>
          <w:sz w:val="21"/>
          <w:szCs w:val="21"/>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MAVYRET/MAVIRET, as well as similar market acceptance of any product candidates we are developing independently.</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MAVYRET/MAVIRET, as well as EDP-305, EDP-938, or any other product candidate that we may develop in the future, whether as part of a combination therapy or as a monotherapy, may not gain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40" w:right="40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spacing w:after="0" w:line="289" w:lineRule="auto"/>
        <w:rPr>
          <w:sz w:val="20"/>
          <w:szCs w:val="20"/>
          <w:color w:val="auto"/>
        </w:rPr>
      </w:pPr>
      <w:r>
        <w:rPr>
          <w:rFonts w:ascii="Arial" w:cs="Arial" w:eastAsia="Arial" w:hAnsi="Arial"/>
          <w:sz w:val="16"/>
          <w:szCs w:val="16"/>
          <w:color w:val="auto"/>
        </w:rPr>
        <w:t>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ind w:right="100"/>
        <w:spacing w:after="0" w:line="302" w:lineRule="auto"/>
        <w:rPr>
          <w:sz w:val="20"/>
          <w:szCs w:val="20"/>
          <w:color w:val="auto"/>
        </w:rPr>
      </w:pPr>
      <w:r>
        <w:rPr>
          <w:rFonts w:ascii="Arial" w:cs="Arial" w:eastAsia="Arial" w:hAnsi="Arial"/>
          <w:sz w:val="16"/>
          <w:szCs w:val="16"/>
          <w:color w:val="auto"/>
        </w:rPr>
        <w:t>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6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right="2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47" w:name="page48"/>
    <w:bookmarkEnd w:id="47"/>
    <w:p>
      <w:pPr>
        <w:spacing w:after="0" w:line="302" w:lineRule="auto"/>
        <w:rPr>
          <w:sz w:val="20"/>
          <w:szCs w:val="20"/>
          <w:color w:val="auto"/>
        </w:rPr>
      </w:pPr>
      <w:r>
        <w:rPr>
          <w:rFonts w:ascii="Arial" w:cs="Arial" w:eastAsia="Arial" w:hAnsi="Arial"/>
          <w:sz w:val="16"/>
          <w:szCs w:val="16"/>
          <w:color w:val="auto"/>
        </w:rPr>
        <w:t>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00" w:hanging="519"/>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20" w:hanging="519"/>
        <w:spacing w:after="0" w:line="286"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00" w:hanging="519"/>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4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40" w:hanging="519"/>
        <w:spacing w:after="0" w:line="276"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8" w:name="page49"/>
    <w:bookmarkEnd w:id="48"/>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3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stock price has been volatile and could be subject to wide fluctuations in response to various factors, many of which are beyond our control. Since our initial public offering in March 2013 and through January 19, 2018, the price of our common stock on the NASDAQ Global Select Market has ranged from $16.18 to $67.32.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5" w:lineRule="exact"/>
        <w:rPr>
          <w:sz w:val="20"/>
          <w:szCs w:val="20"/>
          <w:color w:val="auto"/>
        </w:rPr>
      </w:pPr>
    </w:p>
    <w:p>
      <w:pPr>
        <w:jc w:val="both"/>
        <w:ind w:left="1040" w:right="60" w:hanging="519"/>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actions by AbbVie regarding HCV treatment regimens containing paritaprevir or the MAVYRET/MAVIRET regimen containing glecaprevir as approved in the U.S., EU and Japan, including announcements regarding clinical, regulatory or commercial developments or our collaboration;</w:t>
      </w:r>
    </w:p>
    <w:p>
      <w:pPr>
        <w:spacing w:after="0" w:line="15" w:lineRule="exact"/>
        <w:rPr>
          <w:rFonts w:ascii="Arial" w:cs="Arial" w:eastAsia="Arial" w:hAnsi="Arial"/>
          <w:sz w:val="16"/>
          <w:szCs w:val="16"/>
          <w:color w:val="auto"/>
        </w:rPr>
      </w:pPr>
    </w:p>
    <w:p>
      <w:pPr>
        <w:ind w:left="1040" w:right="66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MAVYRET/MAVIRET regimen to achieve commercial success;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$4.5 million for severance and other non-equity-based benefits in the event of a termination of employment in connection with a change of control of our company. In addition, based on the closing price of our common stock as of December 31, 2017 of $58.68 per common share, the aggregate intrinsic value of unvested stock options and other equity awards subject to accelerated vesting upon these events was $25.0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will continue to be an “emerging growth company” until our fiscal year ending September 30, 2018.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will continue to be an “emerging growth company” until our fiscal year ending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2017, we had 19.1 million shares of common stock outstanding. In addition, as of December 31, 2017, 2.7 million and 0.2 million shares of common stock that are subject to outstanding options or restricted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gridSpan w:val="11"/>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gridSpan w:val="11"/>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260" w:type="dxa"/>
            <w:vAlign w:val="bottom"/>
            <w:tcBorders>
              <w:top w:val="single" w:sz="8" w:color="auto"/>
            </w:tcBorders>
            <w:gridSpan w:val="11"/>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Restated Certificate of Incorporation of Enanta Pharmaceuticals, Inc.</w:t>
              </w:r>
            </w:hyperlink>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980" w:type="dxa"/>
            <w:vAlign w:val="bottom"/>
            <w:tcBorders>
              <w:top w:val="single" w:sz="8" w:color="0000EE"/>
            </w:tcBorders>
            <w:gridSpan w:val="6"/>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Bylaws of Enanta Pharmaceuticals, Inc. (as</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amended and restated in August 2015)</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or 15d-14(a) of the Securities Exchange Act of 1934.</w:t>
              </w:r>
            </w:hyperlink>
          </w:p>
        </w:tc>
        <w:tc>
          <w:tcPr>
            <w:tcW w:w="128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the Chief Executive Officer and Chief Financial Officer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gridSpan w:val="11"/>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of the Sarbanes-Oxley Act of 2002.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right="60" w:hanging="708"/>
        <w:spacing w:after="0" w:line="286"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of December 31, 2017, formatted in XBRL (eXtensible Business Reporting Language): (i) Consolidated Balance Sheets as of December 31, 2017 and September 30, 2017 of Enanta Pharmaceuticals, Inc., (ii) Consolidated Statements of Operations for the three months ended December 31, 2017 and 2016 of Enanta Pharmaceuticals, Inc., (iii) Consolidated Statements of Comprehensive Income (Loss) for the three months ended December 31, 2017 and 2016 of Enanta Pharmaceuticals, Inc., (iv) Consolidated Statements of Cash Flows for the three months ended December 31, 2017 and 2016 of Enanta Pharmaceuticals, Inc., and (v) Notes to Consolidated Financial Statements of Enanta Pharmaceuticals, Inc.</w:t>
      </w: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20"/>
            <w:col w:w="500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337"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2017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Dated: February 9, 2018</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320" w:type="dxa"/>
            <w:vAlign w:val="bottom"/>
          </w:tcPr>
          <w:p>
            <w:pPr>
              <w:spacing w:after="0"/>
              <w:rPr>
                <w:sz w:val="20"/>
                <w:szCs w:val="20"/>
                <w:color w:val="auto"/>
              </w:rPr>
            </w:pPr>
            <w:r>
              <w:rPr>
                <w:rFonts w:ascii="Arial" w:cs="Arial" w:eastAsia="Arial" w:hAnsi="Arial"/>
                <w:sz w:val="18"/>
                <w:szCs w:val="18"/>
                <w:color w:val="auto"/>
              </w:rPr>
              <w:t>Dated: February 9, 2018</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8"/>
    </w:lvl>
  </w:abstractNum>
  <w:abstractNum w:abstractNumId="10">
    <w:nsid w:val="7C3DBD3D"/>
    <w:multiLevelType w:val="hybridMultilevel"/>
    <w:lvl w:ilvl="0">
      <w:lvlJc w:val="left"/>
      <w:lvlText w:val="%1."/>
      <w:numFmt w:val="decimal"/>
      <w:start w:val="9"/>
    </w:lvl>
  </w:abstractNum>
  <w:abstractNum w:abstractNumId="11">
    <w:nsid w:val="737B8DDC"/>
    <w:multiLevelType w:val="hybridMultilevel"/>
    <w:lvl w:ilvl="0">
      <w:lvlJc w:val="left"/>
      <w:lvlText w:val="%1."/>
      <w:numFmt w:val="decimal"/>
      <w:start w:val="10"/>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o"/>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lvl w:ilvl="1">
      <w:lvlJc w:val="left"/>
      <w:lvlText w:val="o"/>
      <w:numFmt w:val="bullet"/>
      <w:start w:val="1"/>
    </w:lvl>
  </w:abstractNum>
  <w:abstractNum w:abstractNumId="18">
    <w:nsid w:val="5577F8E1"/>
    <w:multiLevelType w:val="hybridMultilevel"/>
    <w:lvl w:ilvl="0">
      <w:lvlJc w:val="left"/>
      <w:lvlText w:val="•"/>
      <w:numFmt w:val="bullet"/>
      <w:start w:val="1"/>
    </w:lvl>
    <w:lvl w:ilvl="1">
      <w:lvlJc w:val="left"/>
      <w:lvlText w:val="o"/>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o"/>
      <w:numFmt w:val="bullet"/>
      <w:start w:val="1"/>
    </w:lvl>
  </w:abstractNum>
  <w:abstractNum w:abstractNumId="21">
    <w:nsid w:val="3804823E"/>
    <w:multiLevelType w:val="hybridMultilevel"/>
    <w:lvl w:ilvl="0">
      <w:lvlJc w:val="left"/>
      <w:lvlText w:val="•"/>
      <w:numFmt w:val="bullet"/>
      <w:start w:val="1"/>
    </w:lvl>
    <w:lvl w:ilvl="1">
      <w:lvlJc w:val="left"/>
      <w:lvlText w:val="o"/>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0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6" Type="http://schemas.openxmlformats.org/officeDocument/2006/relationships/hyperlink" Target="http://www.sec.gov/Archives/edgar/data/1177648/000119312513132679/d511662dex31.htm" TargetMode="External"/><Relationship Id="rId77"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2019-12-29T02:05:06Z</dcterms:created>
  <dcterms:modified xsi:type="dcterms:W3CDTF">2019-12-29T02:05:06Z</dcterms:modified>
</cp:coreProperties>
</file>