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4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00" w:type="dxa"/>
        <w:tblCellMar>
          <w:top w:w="0" w:type="dxa"/>
          <w:left w:w="0" w:type="dxa"/>
          <w:bottom w:w="0" w:type="dxa"/>
          <w:right w:w="0" w:type="dxa"/>
        </w:tblCellMar>
      </w:tblPr>
      <w:tr>
        <w:trPr>
          <w:trHeight w:val="214"/>
        </w:trPr>
        <w:tc>
          <w:tcPr>
            <w:tcW w:w="2900" w:type="dxa"/>
            <w:vAlign w:val="bottom"/>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5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Arsenal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607-0800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00"/>
          </w:cols>
          <w:pgMar w:left="240" w:top="226" w:right="259" w:bottom="144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620" w:space="300"/>
            <w:col w:w="6220" w:space="720"/>
            <w:col w:w="1680" w:space="720"/>
            <w:col w:w="160"/>
          </w:cols>
          <w:pgMar w:left="240" w:top="336" w:right="23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5">
            <w:col w:w="1540" w:space="380"/>
            <w:col w:w="160" w:space="100"/>
            <w:col w:w="5960" w:space="720"/>
            <w:col w:w="1980" w:space="420"/>
            <w:col w:w="160"/>
          </w:cols>
          <w:pgMar w:left="240" w:top="336" w:right="239" w:bottom="1440" w:gutter="0" w:footer="0" w:header="0"/>
          <w:type w:val="continuous"/>
        </w:sectPr>
      </w:pP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640" w:space="180"/>
            <w:col w:w="260" w:space="100"/>
            <w:col w:w="160" w:space="180"/>
            <w:col w:w="220" w:space="80"/>
            <w:col w:w="1600"/>
          </w:cols>
          <w:pgMar w:left="240" w:top="336"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the registrant’s Common Stock, $0.01 par value, outstanding as of January 30, 2015, was 18,680,414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 Quarterly Report</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2014</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10900" w:type="dxa"/>
            <w:vAlign w:val="bottom"/>
            <w:gridSpan w:val="17"/>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I—FINANCIAL INFORMATION</w:t>
              </w:r>
            </w:hyperlink>
          </w:p>
        </w:tc>
        <w:tc>
          <w:tcPr>
            <w:tcW w:w="30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Financial Statements</w:t>
              </w:r>
            </w:hyperlink>
          </w:p>
        </w:tc>
        <w:tc>
          <w:tcPr>
            <w:tcW w:w="3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Balance Sheets as of December 31, 2014 and September 30, 2014</w:t>
              </w:r>
            </w:hyperlink>
          </w:p>
        </w:tc>
        <w:tc>
          <w:tcPr>
            <w:tcW w:w="33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Operations for the three months ended December 31, 2014 and 2013</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Statements of Comprehensive Income (Loss) for the three months ended December 31, 2014 and 2013</w:t>
              </w:r>
            </w:hyperlink>
          </w:p>
        </w:tc>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Cash Flows for the three months ended December 31, 2014 and 2013</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Notes to Consolidated Financial Statements</w:t>
              </w:r>
            </w:hyperlink>
          </w:p>
        </w:tc>
        <w:tc>
          <w:tcPr>
            <w:tcW w:w="3900" w:type="dxa"/>
            <w:vAlign w:val="bottom"/>
            <w:tcBorders>
              <w:top w:val="single" w:sz="8" w:color="0000EE"/>
            </w:tcBorders>
            <w:gridSpan w:val="5"/>
          </w:tcPr>
          <w:p>
            <w:pPr>
              <w:spacing w:after="0"/>
              <w:rPr>
                <w:sz w:val="24"/>
                <w:szCs w:val="24"/>
                <w:color w:val="auto"/>
              </w:rPr>
            </w:pPr>
          </w:p>
        </w:tc>
        <w:tc>
          <w:tcPr>
            <w:tcW w:w="20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tcPr>
          <w:p>
            <w:pPr>
              <w:spacing w:after="0"/>
              <w:rPr>
                <w:sz w:val="24"/>
                <w:szCs w:val="24"/>
                <w:color w:val="auto"/>
              </w:rPr>
            </w:pPr>
          </w:p>
        </w:tc>
        <w:tc>
          <w:tcPr>
            <w:tcW w:w="34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Controls and Procedures</w:t>
              </w:r>
            </w:hyperlink>
          </w:p>
        </w:tc>
        <w:tc>
          <w:tcPr>
            <w:tcW w:w="81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0900" w:type="dxa"/>
            <w:vAlign w:val="bottom"/>
            <w:gridSpan w:val="17"/>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PART II—OTHER INFORMATION</w:t>
              </w:r>
            </w:hyperlink>
          </w:p>
        </w:tc>
        <w:tc>
          <w:tcPr>
            <w:tcW w:w="300" w:type="dxa"/>
            <w:vAlign w:val="bottom"/>
          </w:tcPr>
          <w:p>
            <w:pPr>
              <w:spacing w:after="0"/>
              <w:rPr>
                <w:sz w:val="24"/>
                <w:szCs w:val="24"/>
                <w:color w:val="auto"/>
              </w:rPr>
            </w:pPr>
          </w:p>
        </w:tc>
      </w:tr>
      <w:tr>
        <w:trPr>
          <w:trHeight w:val="304"/>
        </w:trPr>
        <w:tc>
          <w:tcPr>
            <w:tcW w:w="10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Risk Factors</w:t>
              </w:r>
            </w:hyperlink>
          </w:p>
        </w:tc>
        <w:tc>
          <w:tcPr>
            <w:tcW w:w="940" w:type="dxa"/>
            <w:vAlign w:val="bottom"/>
            <w:tcBorders>
              <w:top w:val="single" w:sz="8" w:color="0000EE"/>
            </w:tcBorders>
            <w:gridSpan w:val="3"/>
          </w:tcPr>
          <w:p>
            <w:pPr>
              <w:spacing w:after="0"/>
              <w:rPr>
                <w:sz w:val="24"/>
                <w:szCs w:val="24"/>
                <w:color w:val="auto"/>
              </w:rPr>
            </w:pPr>
          </w:p>
        </w:tc>
        <w:tc>
          <w:tcPr>
            <w:tcW w:w="80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1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Use of Proceeds</w:t>
              </w:r>
            </w:hyperlink>
          </w:p>
        </w:tc>
        <w:tc>
          <w:tcPr>
            <w:tcW w:w="87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1000" w:type="dxa"/>
            <w:vAlign w:val="bottom"/>
            <w:gridSpan w:val="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Exhibit Index</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8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0"/>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00"/>
          </w:cols>
          <w:pgMar w:left="24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6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6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6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6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0" w:type="dxa"/>
            <w:vAlign w:val="bottom"/>
          </w:tcPr>
          <w:p>
            <w:pPr>
              <w:spacing w:after="0"/>
              <w:rPr>
                <w:sz w:val="7"/>
                <w:szCs w:val="7"/>
                <w:color w:val="auto"/>
              </w:rPr>
            </w:pPr>
          </w:p>
        </w:tc>
        <w:tc>
          <w:tcPr>
            <w:tcW w:w="8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34,130</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69,892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76,626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185,096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567</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at December 31, 2014 and September 30, 2014,</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 18,822,045 and 18,803,390 shares issued and 18,613,229 and 18,594,574 shares outstanding at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2014 and September 30, 2014, respectively</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224,622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par value; 208,816 shares at December 31, 2014 and September 30, 2014, respectively</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215,427</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77,498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 and Series 1 nonconvertible preferred stock, net</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net</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18,603,067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17,949,472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19,283,223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17,949,472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$42,009</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on marketable securities, net of tax of $3 and $0</w:t>
            </w:r>
          </w:p>
        </w:tc>
        <w:tc>
          <w:tcPr>
            <w:tcW w:w="2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42,014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56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956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42,009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 in fair value of warrant liability and Series 1 nonconvertible preferred stock</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Premium on 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(74,902)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Unbilled receivables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Income taxes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13,226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from exercise of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30,699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34,130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0"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Enanta Pharmaceuticals, Inc. (the “Company”), incorporated in Delaware in 1995, is a research and development-focused biotechnology company that uses its chemistry-driven approach and drug discovery capabilities to create small molecule drugs for the treatment of viral infections and liver diseases. The Company has programs to develop novel protease, NS5A, cyclophilin and nucleotide polymerase inhibitors targeted against the hepatitis C virus (“HCV”) and also recently announced a new focus area in non-alcoholic steatohepatitis (NASH). Additionally, the Company has programs to discover new chemical entities for the treatment of other diseases.</w:t>
      </w:r>
    </w:p>
    <w:p>
      <w:pPr>
        <w:spacing w:after="0" w:line="18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for financial resources to fund research and development activities.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consolidated balance sheet at September 30, 2014 was derived from audited financial statements, but does not include all disclosures required by accounting principles generally accepted in the United States of America (“GAAP”). The accompanying unaudited consolidated financial statements as of December 31, 2014 and for the three months ended December 31, 2014 and 2013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for the year ended September 30, 2014 included in the Company’s Annual Report on Form 10-K.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financial position as of December 31, 2014 and results of operations for the three months ended December 31, 2014 and 2013 and cash flows for the three months ended December 31, 2014 and 2013 have been made. The results of operations for the three months ended December 31, 2014 are not necessarily indicative of the results of operations that may be expected for the year ending September 30, 2015.</w:t>
      </w:r>
    </w:p>
    <w:p>
      <w:pPr>
        <w:spacing w:after="0" w:line="180" w:lineRule="exact"/>
        <w:rPr>
          <w:sz w:val="20"/>
          <w:szCs w:val="20"/>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306" w:lineRule="exact"/>
        <w:rPr>
          <w:sz w:val="20"/>
          <w:szCs w:val="20"/>
          <w:color w:val="auto"/>
        </w:rPr>
      </w:pPr>
    </w:p>
    <w:p>
      <w:pPr>
        <w:ind w:right="7420" w:firstLine="8"/>
        <w:spacing w:after="0" w:line="378" w:lineRule="auto"/>
        <w:tabs>
          <w:tab w:leader="none" w:pos="44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valuation of warrants, Series 1 nonconvertible preferred stock and stock-based awards; the useful lives of property and equipment; and the accounting for income taxes, including uncertain tax positions. Estimates are periodically reviewed in light of changes in circumstances, facts and experience. Actual results could differ from the Company’s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revenue is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agreements entered into prior to October 1, 2011, the Company evaluated license agreements with multiple deliverables to determine if the deliverable elements could be recognized separately by considering (i) if the delivered elements (typically the license) had standalone value to the customer, (ii) if the fair value of any undelivered elements (typically the research and development services and the steering committee activities) could be determined based on vendor-specific objective evidence (“VSOE”) or vendor objective evidence (“VOE”), and (iii) if the arrangement included a general right of return relative to the delivered item, the delivery or performance of the undelivered item was considered probable and substantially within the control of the Company. VSOE of fair value was based on the consistent price of a deliverable when the Company regularly sold it on a standalone basis. Alternatively, VOE was based upon third-party objective evidence of fair value. If the delivered elements had value on a standalone basis and the fair value of the undelivered elements could be determined based on VSOE or VOE, revenues of such elements were then accounted for separately as delivered with arrangement consideration allocated to the delivered elements based on the residual value method. If either (i) the delivered elements were considered to not have standalone value or (ii) VSOE or VOE of fair value for any of the undelivered elements could not be determined, the arrangement was accounted for as a single unit of accounting and all payments received were recognized as revenue over the estimated period of performance of the entire arrangement.</w:t>
      </w:r>
    </w:p>
    <w:p>
      <w:pPr>
        <w:spacing w:after="0" w:line="19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On October 1, 2011, the Company adopted Accounting Standards Update (“ASU”) No. 2009-13, </w:t>
      </w:r>
      <w:r>
        <w:rPr>
          <w:rFonts w:ascii="Times New Roman" w:cs="Times New Roman" w:eastAsia="Times New Roman" w:hAnsi="Times New Roman"/>
          <w:sz w:val="18"/>
          <w:szCs w:val="18"/>
          <w:i w:val="1"/>
          <w:iCs w:val="1"/>
          <w:color w:val="auto"/>
        </w:rPr>
        <w:t>Multiple-Deliverable Revenue Arrangements</w:t>
      </w:r>
      <w:r>
        <w:rPr>
          <w:rFonts w:ascii="Times New Roman" w:cs="Times New Roman" w:eastAsia="Times New Roman" w:hAnsi="Times New Roman"/>
          <w:sz w:val="18"/>
          <w:szCs w:val="18"/>
          <w:color w:val="auto"/>
        </w:rPr>
        <w:t xml:space="preserve"> (“ASU 2009-13”). This guidance, which applies to multiple-element arrangements entered into or materially modified on or after October 1, 2011, amends the criteria for separating and allocating consideration in a multiple-element arrangement by modifying the fair value requirements for revenue recognition and eliminating the use of the residual value method. The selling prices of deliverables under the arrangement may be derived using third-party evidence (“TPE”) or a best estimate of selling price (“BESP”), if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the Company’s BESP, the Company considers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The Company may exercise significant judgment in determining whether a deliverable is a separate unit of accounting. The Company elected to adopt ASU 2009-13 prospectively as of October 1, 2011.</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a collaborative research and license agreement, a steering committee is typically responsible for overseeing the general working relationships, determining the protocols to be followed in the research and development performed, and evaluating the results from the continued development of the product in order to determine the clinical studies to be performed. The Company evaluates whether its participation in joint research and development steering committees is a substantive obligation or whether the services are considered inconsequential or perfunctory. The Company’s participation on a steering committee is considered “participatory” and therefore accounted for as a separate element when the collaborator requires the participation of the Company to ensure all elements of an arrangement are maximized. Steering committee services that are considered participatory are combined with other research services or performance obligations required under an arrangement, if any, in determining the level of effort required in an arrangement and the period over which the Company expects to complete its aggregate performance obligations. Alternatively, the Company’s participation on a steering committee is considered “protective” and therefore not accounted for as a separate element in a case where the Company can exercise or control when to be involved at its own discretion. Factors the Company considers in determining if its participation in a joint steering committee is participating or protective include: (i) which party negotiated or requested the steering committee, (ii) how frequently the steering committee meets, (iii) whether or not there are any penalties or other recourse if the Company does not attend the steering committee meetings, (iv) which party has decision making authority on the steering committee, and (v) whether or not the collaborator has the requisite experience and expertise associated with the research and development of the licensed intellectual property.</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 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 ends, then revenue is deferred until the Company can reasonably estimate when the performance obligation period ends.</w:t>
      </w:r>
    </w:p>
    <w:p>
      <w:pPr>
        <w:spacing w:after="0" w:line="1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Royalty revenue is recognized based on contractual terms when reported sales are reliably measurable and collectibility is reasonably assured, provided that there are no performance obligations then remaining.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2014 and 2013 the Company also generated revenue from a government contract, under which the Company is reimbursed for certain allowable costs for the funded project. Revenue from the government contract is recognized when the related service is performed. The related costs incurred by the Company under the government contract are included in research and development expenses in the statements of operations.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new standard will be effective for us on October 1, 2017. The Company is currently evaluating the potential impact that Topic 606 may have on its financial position and results of operations.</w:t>
      </w:r>
    </w:p>
    <w:p>
      <w:pPr>
        <w:spacing w:after="0" w:line="32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December 31, 2014 and September 30, 2014 and indicate the fair value hierarchy of the valuation inputs utilized to determine such fair value: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1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2014 Using:</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27,046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27,046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87,951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27,046</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1,427</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1,610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1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gridSpan w:val="1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2014 Using:</w:t>
            </w: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30,239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30,239</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7,499</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88,056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5,513</w:t>
            </w: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30,239</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131,307</w:t>
            </w:r>
          </w:p>
        </w:tc>
        <w:tc>
          <w:tcPr>
            <w:tcW w:w="1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1,786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2014 and 2013, there were no transfers between Level 1, Level 2 and Level 3.</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2014 and September 30, 2014, respectively, the warrant liability was comprised of the values of warrants for the purchase of Series 1 nonconvertible preferred stock measured at fair value. The outstanding Series 1 nonconvertible preferred stock was also measured at fair value. The fair value of both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The fair value of warrants to purchase our Series 1 nonconvertible preferred stock was $1,427 and $1,584, at December 31, 2014 and September 30, 2014, respectively. The fair value of Series 1 nonconvertible preferred stock was $183 and $202 as of December 31, 2014 and September 30, 2014, respectively. Changes in the fair value of the warrant liability and Series 1 nonconvertible preferred stock are recognized in the consolidated statements of operations.</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8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8"/>
        </w:trPr>
        <w:tc>
          <w:tcPr>
            <w:tcW w:w="37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Warrant liability and Series 1 nonconvertible</w:t>
            </w:r>
          </w:p>
        </w:tc>
        <w:tc>
          <w:tcPr>
            <w:tcW w:w="34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Probabilities of payout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8"/>
                <w:szCs w:val="18"/>
                <w:color w:val="auto"/>
                <w:w w:val="98"/>
              </w:rPr>
              <w:t>10% - 55%</w:t>
            </w:r>
          </w:p>
        </w:tc>
        <w:tc>
          <w:tcPr>
            <w:tcW w:w="0" w:type="dxa"/>
            <w:vAlign w:val="bottom"/>
          </w:tcPr>
          <w:p>
            <w:pPr>
              <w:spacing w:after="0"/>
              <w:rPr>
                <w:sz w:val="1"/>
                <w:szCs w:val="1"/>
                <w:color w:val="auto"/>
              </w:rPr>
            </w:pPr>
          </w:p>
        </w:tc>
      </w:tr>
      <w:tr>
        <w:trPr>
          <w:trHeight w:val="248"/>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Periods in which payout is expected to occur</w:t>
            </w:r>
          </w:p>
        </w:tc>
        <w:tc>
          <w:tcPr>
            <w:tcW w:w="12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shd w:val="clear" w:color="auto" w:fill="CCEEFF"/>
              </w:rPr>
              <w:t>2016 – 2017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4.25%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Series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380" w:type="dxa"/>
            <w:vAlign w:val="bottom"/>
            <w:gridSpan w:val="4"/>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2014</w:t>
            </w:r>
          </w:p>
        </w:tc>
        <w:tc>
          <w:tcPr>
            <w:tcW w:w="3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$ 1,584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fair value</w:t>
            </w:r>
          </w:p>
        </w:tc>
        <w:tc>
          <w:tcPr>
            <w:tcW w:w="3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160" w:type="dxa"/>
            <w:vAlign w:val="bottom"/>
            <w:vMerge w:val="restart"/>
          </w:tcPr>
          <w:p>
            <w:pPr>
              <w:jc w:val="right"/>
              <w:ind w:right="1876"/>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and September 30, 2014, the fair value of available-for-sale marketable securities by type of security was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700" w:type="dxa"/>
            <w:vAlign w:val="bottom"/>
          </w:tcPr>
          <w:p>
            <w:pPr>
              <w:spacing w:after="0"/>
              <w:rPr>
                <w:sz w:val="10"/>
                <w:szCs w:val="10"/>
                <w:color w:val="auto"/>
              </w:rPr>
            </w:pPr>
          </w:p>
        </w:tc>
        <w:tc>
          <w:tcPr>
            <w:tcW w:w="1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80" w:type="dxa"/>
            <w:vAlign w:val="bottom"/>
          </w:tcPr>
          <w:p>
            <w:pPr>
              <w:spacing w:after="0"/>
              <w:rPr>
                <w:sz w:val="10"/>
                <w:szCs w:val="10"/>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88,042</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87,951</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93,552</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93,460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700" w:type="dxa"/>
            <w:vAlign w:val="bottom"/>
          </w:tcPr>
          <w:p>
            <w:pPr>
              <w:spacing w:after="0"/>
              <w:rPr>
                <w:sz w:val="10"/>
                <w:szCs w:val="10"/>
                <w:color w:val="auto"/>
              </w:rPr>
            </w:pPr>
          </w:p>
        </w:tc>
        <w:tc>
          <w:tcPr>
            <w:tcW w:w="1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3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80" w:type="dxa"/>
            <w:vAlign w:val="bottom"/>
          </w:tcPr>
          <w:p>
            <w:pPr>
              <w:spacing w:after="0"/>
              <w:rPr>
                <w:sz w:val="10"/>
                <w:szCs w:val="10"/>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88,156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88,056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101,168</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101,068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2014, marketable securities consisted of investments that mature within one year, with the exception of certain corporate bonds, which have maturities within three years and an aggregate fair value of $23,568.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2014, marketable securities consisted of investments that mature within one year, with the exception of certain corporate bonds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bonds, which have maturities within three years and an aggregate fair value of $41,003.</w:t>
      </w:r>
    </w:p>
    <w:p>
      <w:pPr>
        <w:spacing w:after="0" w:line="35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(current) and other long-term liabilities consisted of the following as of December 31, 2014 and September 30, 2014:</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Accrued expenses: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preclinical and clinical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vendor manufacturing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third-party license fees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rent expense</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right="8940" w:firstLine="8"/>
        <w:spacing w:after="0" w:line="400" w:lineRule="auto"/>
        <w:tabs>
          <w:tab w:leader="none" w:pos="44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Agreements AbbVie Collaboration</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(previously known as ABT-450). The agreement, which was amended in January and December 2009, was assigned by Abbott to AbbVie Inc. on January 1, 2013 in connection with Abbott’s transfer of its research-based pharmaceuticals business to AbbVie.</w:t>
      </w:r>
    </w:p>
    <w:p>
      <w:pPr>
        <w:spacing w:after="0" w:line="18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 xml:space="preserve">Under the terms of the AbbVie Agreement, as amended, AbbVie paid to the Company upfront license payments and FTE reimbursements to fund research activities. The Company is also eligible to receive milestone payments for the successful development by AbbVie of one or more HCV compounds as well as annually tiered royalties per product ranging from the low double digits up to twenty percent, or on a blended basis from the low double digits up to the high teens, on net sales by AbbVie allocated to the collaboration’s protease inhibitors. Under the terms of the agreement, as amended in October 2014, 30% of net sales of a 3-DAA regimen containing paritaprevir will be allocated to paritaprevir, and 45% of net sales of a 2-DAA regimen containing paritaprevir will be allocated to paritaprevir. For ABT-493, 50% of net sales of a 2-DAA regimen containing ABT-493 will be allocated to ABT-493, and for a 3-DAA regimen containing ABT-493, 33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net sales will be allocated to ABT-493. If there is any active ingredient other than DAA’s in any ABT-493-containing regimen sold by AbbVie, there will be a further adjustment to net sales based on the relative value of the non-DAA ingredient.</w:t>
      </w:r>
    </w:p>
    <w:p>
      <w:pPr>
        <w:sectPr>
          <w:pgSz w:w="11900" w:h="16838" w:orient="portrait"/>
          <w:cols w:equalWidth="0" w:num="1">
            <w:col w:w="11420"/>
          </w:cols>
          <w:pgMar w:left="240" w:top="455" w:right="2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Deliverables under the AbbVie Agreement included a license, research services and participation on a steering committee. The Company concluded that all deliverables under the AbbVie Agreement should be treated as a single unit of accounting. Accordingly, revenue was recognized using the proportional performance model over the period during which the Company performed research services. The Company completed all remaining service obligations under the agreement as of June 2011. All milestone payments received after June 2011 are recognized as revenue when each milestone is achieved by AbbVie.</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Through September 30, 2014, the Company had received upfront license payments, proceeds from a sale of preferred stock, research funding payment, and milestone payments totaling $160,000 from AbbVie.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2014, the Company earned and recognized as revenue a $75,000 milestone amount due from AbbVie as a result of U.S. regulatory approval by the FDA for AbbVie’s first treatment regimen containing a collaboration compound. The Company’s first product, paritaprevir, was approved on December 19, 2014 as part of AbbVie’s new treatment regimen for HCV. The Company has earned royalty revenue from product sales for the first time in the quarter ended December 31, 2014.</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2014, the Company was eligible to receive additional milestone payments totaling up to $80,000 upon AbbVie’s achievement of commercialization regulatory approval milestones for paritaprevir in selected world markets outside of the U.S. On January 16, 2015 the Company announced that the European Commission granted marketing authorizations for AbbVie’s VIEKIRAX® (ombitasvir/paritaprevir/ritonavir tablets) + EXVIERA® (dasabuvir tablets) with or without ribavirin (RBV) for the treatment of patients with chronic genotype 1 (GT1) hepatitis C virus (HCV) infection and VIEKIRAX with ribavirin for chronic genotype 4 (GT4) HCV infection. The Company is entitled to a $50,000 milestone payment from AbbVie upon commercialization regulatory approval of VIEKIRAX in Europe, which is expected to be received in the quarter ending March 31, 2015.</w:t>
      </w:r>
    </w:p>
    <w:p>
      <w:pPr>
        <w:spacing w:after="0" w:line="188"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17"/>
          <w:szCs w:val="17"/>
          <w:color w:val="auto"/>
        </w:rPr>
        <w:t>The Company is also eligible to receive additional milestone payments totaling up to $80,000 upon AbbVie’s achievement of similar commercialization regulatory approval milestones in the U.S. and other selected world markets for each additional product containing a new protease inhibitor.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Collaboration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February 16, 2012, the Company entered into a license and collaboration agreement with Novartis (the “Novartis Agreement”) for the development, manufacture and commercialization of its lead development candidate, EDP-239, from its NS5A HCV inhibitor program.</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30, 2014 the Company entered into an amendment to its 2012 collaboration and license agreement with Novartis to return to the Company full rights to its NS5A inhibitor program, including EDP-239, and to transition the proof-of-concept study to the Company. The Company owes no future payments to Novartis in connection with this transfer except for any unused drug product or ingredients that the Company may choose to buy from Novartis.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NIAID Contract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30, 2011, the Company entered into a contract with the National Institute of Allergy and Infectious Diseases (“NIAID”), a division of the National Institutes of Health (“NIH”), which contract provided for up to $42,700 in potential development funding to the Company over a five-year period. Under this contract NIAID has funded the preclinical and clinical development of a bridged bicyclic antibiotic to be used as a medical countermeasure against multiple biodefense Category A and B bacteria.</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initial award under the initial term of the contract was $14,300. In August 2013, NIAID exercised the first two options under this agreement which obligated it to provide an additional $9,200 in funding to the Company for preclinical and early clinical development of its lead antibiotic candidate, bringing funding paid or committed to date by NIAID to approximately $23,500.</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under this agreement as development services are performed in accordance with the funding agreement. During the three months ended December 31, 2014 and 2013, $1,106 and $893 of revenue, respectively, was recognized under this agreement.</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light of the Company’s strategic decision not to continue commercial development of the antibiotic candidate for non-biodefense indications, which it communicated to NIAID in December 2014, NIAID has confirmed that it is prepared to agree to amend the contract so it will be completed upon the Company’s delivery of the study report for the Phase 1 clinical study, which is expected in August 2015. NIAID may terminate performance of work under this contract if it determines that a termination is in the government’s interest, also referred to as a termination for convenience, or if the Company defaults in performing the contract.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in the consolidated statement of operations. On February 5, 2014, 225,408 warrants were exercised resulting in the net issuance of 223,153 shares of Series 1 nonconvertible preferred stock. As of December 31, 2014 and September 30, 2014, the total fair value of the Series 1 nonconvertible preferred stock was $183 and $202, respectively. As of December 31, 2014 and September 30, 2014, the total fair value of the Series 1 nonconvertible preferred stock warrants was $1,427 and $1,584, respectively.</w:t>
      </w:r>
    </w:p>
    <w:p>
      <w:pPr>
        <w:spacing w:after="0" w:line="293" w:lineRule="exact"/>
        <w:rPr>
          <w:sz w:val="20"/>
          <w:szCs w:val="20"/>
          <w:color w:val="auto"/>
        </w:rPr>
      </w:pPr>
    </w:p>
    <w:p>
      <w:pPr>
        <w:ind w:right="9300" w:firstLine="8"/>
        <w:spacing w:after="0" w:line="378"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 2012 Equity Incentive Plan</w:t>
      </w:r>
    </w:p>
    <w:p>
      <w:pPr>
        <w:spacing w:after="0" w:line="255" w:lineRule="auto"/>
        <w:rPr>
          <w:sz w:val="20"/>
          <w:szCs w:val="20"/>
          <w:color w:val="auto"/>
        </w:rPr>
      </w:pPr>
      <w:r>
        <w:rPr>
          <w:rFonts w:ascii="Times New Roman" w:cs="Times New Roman" w:eastAsia="Times New Roman" w:hAnsi="Times New Roman"/>
          <w:sz w:val="18"/>
          <w:szCs w:val="18"/>
          <w:color w:val="auto"/>
        </w:rPr>
        <w:t>The Company’s 2012 Equity Incentive Plan (the “2012 Plan”) permits the Company to sell or issue common stock or restricted common stock or to grant incentive stock options or nonqualified stock options for the purchase of common stock, restricted stock units, stock appreciation rights or other cash incentive awards, to employees, members of the board of directors and consultants of the Company. The number of shares of common stock that may be issued under the 2012 Plan is subject to increase by the number of shares forfeited under any options terminated and not exercised under the previous plan, known as the 1995 Equity Incentive Plan as well as by a number of additional shares on the first day of each fiscal year equal to the lowest amount among the following: (i) 3% of the Company’s outstanding shares of common stock as of that date, (ii) 2,088,167 shares of common stock, or (iii) a lower amount determined by the board of directors. On October 1, 2014, the number of shares of common stock that may be issued under the 2012 Plan was increased by 557,863. As of December 31, 2014, 663,477 shares remained available for future grant.</w:t>
      </w:r>
    </w:p>
    <w:p>
      <w:pPr>
        <w:spacing w:after="0" w:line="18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March 2013, the Company granted to certain executives 167,052 options that vest upon the achievement of certain performance-based targets. The grant date fair value of these options was $2,479. During the three months ended December 31, 2014 and 2013, the Company recorded no compensation expense related to these options as none of the performance-based targets became probable of being achieved during these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Employee Stock Purchase Plan (the “ESPP”), a total of 185,614 shares of common stock were reserved for issuance. As of December 31, 2014, the Company has not commenced any offering under the ESPP and no shares have been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lacks sufficient company-specific historical volatility information. Therefore, it estimates its expected stock volatility based on the historical volatility of a selected group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relevant data used to determine the value of the stock option grants is as follows, presented on a weighted average basis:</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31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1.92%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required by the 2012 Plan, the exercise price for awards granted is not to be less than the fair value of common shares as estimated by the Company as of the date of grant. For the periods prior to the March 2013 IPO, the Company valued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 For the periods after the IPO, the Company based fair value of its common stock on the quoted market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December 31, 2014:</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3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1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2014</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1,389,437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311,055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5.10</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2014</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1,678,111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$ 50,509</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as of December 31,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5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$ 44,140</w:t>
            </w: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1,494,527</w:t>
            </w:r>
          </w:p>
        </w:tc>
        <w:tc>
          <w:tcPr>
            <w:tcW w:w="5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December 31, 2014</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744,142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$ 31,631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the three months ended December 31, 2014 and 2013 in the following expense categories: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6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 had an aggregate of $16,554 of unrecognized stock-based compensation cost, which is expected to be recognized over a weighted average period of 2.8 years.</w:t>
      </w:r>
    </w:p>
    <w:p>
      <w:pPr>
        <w:spacing w:after="0" w:line="306"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was calculated as follows for the three months ended December 31, 2014 and 2013:</w:t>
      </w:r>
    </w:p>
    <w:p>
      <w:pPr>
        <w:spacing w:after="0" w:line="182"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54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net income (loss) per share: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18,603,067</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17,949,472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18,603,067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17,949,472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680,156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19,283,223</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17,949,472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 per share—diluted</w:t>
            </w: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424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Stock options for the purchase of 288,490 weighted average shares were excluded from the computation of diluted net income per share attributable to common stockholders for the three months ended December 31, 2014 because those options had an anti-dilutive impact due to the assumed proceeds per share using the treasury stock method being greater than the average fair value of the Company’s common shares for that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Stock options for the purchase of 1,661,765 weighted average shares were excluded from the computation of diluted net loss per share attributable to common stockholders for the three months ended December 31, 2013 because those options had an anti-dilutive impact due to the net loss attributable to common stockholders.</w:t>
      </w:r>
    </w:p>
    <w:p>
      <w:pPr>
        <w:spacing w:after="0" w:line="32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2014 and December 31, 2013, the Company recorded an income tax provision of $28,502 and $0, respectively, representing an effective tax rate of 40.4% and 0.0%, respectively. The income tax provision for the three months ended December 31, 2014 was primarily attributable to the tax provision on the earnings of the Company’s domestic operations. During the three months ended December 31, 2014, the gross deferred tax assets decreased by $9,568 as a result of their utilization due to income before income taxes generated during the period.</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 provision for income tax was recorded for the three months ended December 31, 2013, as the Company maintained a valuation allowance against its deferred tax assets. The valuation allowance was reversed during the three months ended June 30, 2014.</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2007 to the present. Earlier years may be examined to the extent that tax credit or net operating loss carryforwards are used in future periods.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had no unrecognized tax benefits as of December 31, 2014 or September 30, 2014. Unrecognized tax benefits represent tax positions for which reserves have been established. The Company’s policy is to record interest and penalties related to uncertain tax positions as part of its income tax provision.</w:t>
      </w:r>
    </w:p>
    <w:p>
      <w:pPr>
        <w:spacing w:after="0" w:line="306" w:lineRule="exact"/>
        <w:rPr>
          <w:sz w:val="20"/>
          <w:szCs w:val="20"/>
          <w:color w:val="auto"/>
        </w:rPr>
      </w:pPr>
    </w:p>
    <w:p>
      <w:pPr>
        <w:ind w:right="8400" w:firstLine="8"/>
        <w:spacing w:after="0" w:line="378" w:lineRule="auto"/>
        <w:tabs>
          <w:tab w:leader="none" w:pos="44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an office and laboratory lease that expires in September 2018. Payment escalation as specified in the lease agreement is accrued such that rent expense is recognized on a straight-line basis over the term of occupancy. The Company recorded rent expense of $237 for the three months ended December 31, 2014 and 2013.</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the lease, the Company has outstanding a $436 letter of credit, collateralized by a money market account. As of December 31, 2014 and September 30, 2014, the Company classified $436 related to the letter of credit as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non-exclusive intellectual property license agreement with a third party, under which the Company is required to pay $200 in fiscal 2015 and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has a non-exclusive license with respect to patents it uses in its HCV research. Under the license, the Company is obligated to pay milestones totaling up to $5,000, plus low single digit royalties, for the development and regulatory approval of each HCV product outside of the Company’s collaboration with AbbVie and any other collaboration it may enter into in the future with a partner that has already licensed these patents.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could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2014.</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2014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research and development-focused biotechnology company that uses its robust chemistry-driven approach and drug discovery capabilities to create small molecule drugs for the treatment of viral infections and liver diseases. We are discovering and developing inhibitors designed for use against the hepatitis C virus, referred to as HCV. We believe that a successful approach to a complete cure for HCV in most patients will likely continue to require treatment with a combination of drugs that attack different mechanisms necessary for replication and survival of HCV. Our development of inhibitors for validated HCV target mechanisms, as well as our collaboration with AbbVie (which name refers to Abbott Laboratories for all periods before January 1, 2013), should allow us to participate in multiple drug combinations as we and our collaborator seek competitive combination therapies for HCV in its various forms. The reported worldwide sales of the two newest therapies for HCV (sofosbuvir and simeprevir) in the first nine months of 2014 totaled approximately $10.5 billion. We believe that annual worldwide sales of these therapies and future approved therapies could increase sales in this market to as high as</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$15 billion to $20 billion during the next few years. In addition to our HCV programs, we are using our internal research capabilities to advance several early stage programs to discover new chemical entities for the treatment of other diseases with significant unmet medical need, including our recently announced new focus area in non-alcoholic steatohepatitis, or NASH. We have utilized our internal chemistry and drug discovery capabilities and our collaborations to generate all of our development-stage programs, and we have active research efforts to broaden our drug pipeline.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HCV antivirals: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85435" cy="4305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85435"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HCV portfolio includes inhibitors of four fundamental, validated HCV targets. Our lead product candidate, paritaprevir, previously known as ABT-450, is a protease inhibitor that was discovered through our collaboration with AbbVie. During the three months ended December 31, 2014, we earned and recognized as revenue a $75.0 million milestone payment from AbbVie as a result of the U.S. regulatory approval by the FDA of the first regimen containing a collaboration compound. To date AbbVie has funded all research and development of our protease inhibitors since we entered into the collaboration in November 2006, and is responsible for obtaining regulatory approvals and commercializing paritaprevir, ABT-493 and any other follow-on products worldwide.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discovered our lead NS5A product candidate, EDP-239, internally at Enanta and entered into a collaboration agreement with Novartis in February 2012. Under the agreement we received a total of $48.2 million in upfront fees, research funding and a milestone payment from Novartis. As a result of a corporate decision that HCV would no longer be a strategic focus for Novartis, on September 30, 2014, we entered into an agreement with Novartis to return to us full rights to this program, including transitioning the proof-of-concept study to us. We owe no future payments to Novartis in connection with this transfer except for any unused drug product or ingredients that we may choose to buy from Novartis.</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independent HCV research activities are focused on our newly returned NS5A inhibitor assets and our cyclophilin inhibitor program, which is in preclinical development. We also have a small-molecule drug discovery effort underway for nucleotide polymerase inhibitors. We are currently funding all research and development for our NS5A inhibitor, cyclophilin inhibitor and nucleotide polymerase inhibitor programs. We expect to incur substantially greater expenses as we seek to advance these programs into clinical development.</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to our HCV programs, we used our internal research capabilities to discover a new class of antibiotics called Bicyclolides, which we were developing for the treatment of multi-drug resistant bacteria. For the periods included in this report this program has been funded under a September 2011 contract with the National Institute of Allergy and Infectious Diseases, or NIAID, a division 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National Institutes of Health, an agency of the United States Department of Health and Human Services, to develop our lead bicyclolide for biodefense purposes. In light of our strategic decision to discontinue commercial development of this antibiotic candidate for non-biodefense indications, which we have recently communicated to NIAID, NIAID has confirmed that it is prepared to agree to amend our contract so it will be completed upon our delivery of the study report for our Phase 1 study, which is expected in August 2015.</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Since commencing our operations in 1995, we have devoted substantially all of our resources to the discovery and development of novel inhibitors for the treatment of infectious diseases. We have historically funded our operations primarily through the sale of convertible preferred stock and payments received under our collaborations and a government contract. On March 26, 2013, we completed our IPO of 4,600,000 shares of common stock at an offering price of $14.00 per share, which included the exercise in full by the underwriters of their option to purchase up to 600,000 additional shares of common stock. We received net proceeds of approximately $59.9 million, after deducting underwriting discounts and commissions. As of December 31, 2014, we had $127.6 million in cash and short-term and long-term marketable securities.</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revenue from our collaboration agreements has resulted in our reporting net income in each of our past five fiscal years and in the three months ended December 31, 2014. We expect that our revenue in the near term will continue to be substantially dependent on our collaboration with AbbVie, including its commercialization of paritaprevir and its continued advancement of the related development programs. Given the schedule of potential milestone payments and the uncertain nature and timing of clinical development and regulatory approval, we cannot be certain as to the extent of royalty payments related to paritaprevir or when or whether we will receive further milestone payments under this collaboration or whether we will report either continuing revenue or net income in future years.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our inception and until this fiscal year, our revenue has been derived from two primary sources: collaboration agreements with pharmaceutical companies and one government research and development contract. In the quarter ended December 31, 2014, we generated our first royalty revenue from AbbVie’s net sales allocable to paritaprevir, which was part of AbbVie’s new treatment for HCV launched in the United States after its approval by the FDA on December 19, 2014. We have entered into three significant collaboration agreements since 2006. In November 2006, we entered into a collaboration agreement with AbbVie and from February 2012 through September 2014 we had an active collaboration with Novartis. In September 2011, we entered into a contract with NIAID, which has funded the preclinical and early clinical development of our bicyclolide antibiotic product candidate since that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from our collaboration agreements and government contract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4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AbbVie agreement:</w:t>
            </w:r>
          </w:p>
        </w:tc>
        <w:tc>
          <w:tcPr>
            <w:tcW w:w="2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payments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$ 75,000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Royalties</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NIAID contract</w:t>
            </w:r>
          </w:p>
        </w:tc>
        <w:tc>
          <w:tcPr>
            <w:tcW w:w="2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$ 77,498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$ 893</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Agreement</w:t>
      </w:r>
    </w:p>
    <w:p>
      <w:pPr>
        <w:spacing w:after="0" w:line="12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Since all of our research obligations under the AbbVie agreement were concluded by June 30, 2011, all milestone payments received since then, have been recognized as revenue upon achievement of the milestone by AbbVie. During the year ended September 30, 2013, we earned and recognized as revenue a $15.0 million milestone payment based on AbbVie’s initiation of dosing in a Phase 3 clinical trial that included paritaprevir. During the year ended September 30, 2014, we earned and recognized as revenue a total of $40.0 million in milestone payments as a result of regulatory filings by AbbVie with the FDA and the European Medicines Agency (EMA) for the first protease inhibitor product resulting from our collaboration with AbbVie. During the three months ended December 31, 2014, we earned and recognized as revenue a $75.0 million milestone payment related to AbbVie’s FDA approval of a combination containing a collaboration compound. Under the terms of the AbbVie agreement, we are eligible to receive additional future milestone payments totaling up to $80 million related to the successful commercialization regulatory approval by AbbVie of the first HCV treatment regimen incorporating one of our collaboration’s protease inhibitors. We are also eligible to receive annually tiered, double-digit royalties per product on AbbVie’s net sales, if any, allocable to any one of our collaboration’s protease inhibitors. Under the terms of our agreement, as amended in October 2014, 30% of net sales of a 3-DAA regimen containing paritaprevir will be allocated to paritaprevir, and 45% of net sales of a 2-DAA regimen containing paritaprevir will be allocated to paritaprevir. For ABT-493, 50% of net sales of a 2-DAA regimen containing ABT-493 will be allocated to ABT-493, and for a 3-DAA regimen containing ABT-493, 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8"/>
          <w:szCs w:val="18"/>
          <w:color w:val="auto"/>
        </w:rPr>
        <w:t>% of net sales will be allocated to ABT-493. If there is any active ingredient other than DAA’s in any ABT-493-containing regimen sold by AbbVie, there will be a further adjustment to net sales based on the relative value of the non-DAA ingredient.</w:t>
      </w:r>
    </w:p>
    <w:p>
      <w:pPr>
        <w:sectPr>
          <w:pgSz w:w="11900" w:h="16838" w:orient="portrait"/>
          <w:cols w:equalWidth="0" w:num="1">
            <w:col w:w="11400"/>
          </w:cols>
          <w:pgMar w:left="240" w:top="455" w:right="25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Contract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NIAID contract and the initial authorization, NIAID paid us research and development funding of approximately $14.0 million over an initial period of 30 months for initial clinical development of our lead antibiotic candidate. In August 2013 NIAID agreed to provide additional funding of $9.2 million, thereby increasing total funding from NIAID to approximately $23.5 million. We recognize revenue under this contract as research and development services are performed. We recognized revenue of $1.1 million and $0.9 million under this contract during the three months ended December 31, 2014 and 2013, respectively. In December 2014 we notified NIAID that we had decided to discontinue development of our lead antibiotic candidate for non-biodefense indications, and NIAID has confirmed that it is prepared to agree to amend our contract so it will be completed upon delivery of the Phase 1 clinical study report, which is expected in August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months ended December 31, 2014 and 2013:</w:t>
      </w:r>
    </w:p>
    <w:p>
      <w:pPr>
        <w:spacing w:after="0" w:line="246"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46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$ 4,519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67" w:lineRule="exact"/>
        <w:rPr>
          <w:sz w:val="20"/>
          <w:szCs w:val="20"/>
          <w:color w:val="auto"/>
        </w:rPr>
      </w:pPr>
    </w:p>
    <w:p>
      <w:pPr>
        <w:ind w:left="900" w:right="10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the future as we advance our three independent HCV programs and our research and development efforts in NASH and other areas.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programs are at an early stage;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administrative expenses also include travel expenses, allocated facility-related costs not otherwise included in research and development expenses, and professional fees for auditing, tax and legal services, including legal expenses to pursue patent protection of our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our marketable securities balances.</w:t>
      </w:r>
    </w:p>
    <w:p>
      <w:pPr>
        <w:spacing w:after="0" w:line="22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consists of non-cash interest expense which is being accreted to the value of accrued third-party license fees over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obligation.</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warrant liability and Series 1 nonconvertible preferred stock. </w:t>
      </w:r>
      <w:r>
        <w:rPr>
          <w:rFonts w:ascii="Times New Roman" w:cs="Times New Roman" w:eastAsia="Times New Roman" w:hAnsi="Times New Roman"/>
          <w:sz w:val="18"/>
          <w:szCs w:val="18"/>
          <w:color w:val="auto"/>
        </w:rPr>
        <w:t>We have issued warrants for the purchase of our Series 1 nonconvertible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and we have issued Series 1 nonconvertible preferred stock, both of which we believe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and we record the changes in the fair value of the warrants and Series 1 nonconvertible preferred stock as a component of other income (expense).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based on our best estimate of applicable rates applied to pre-tax profit reported during the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to our consolidated financial statements included elsewhere in this Quarterly Report on Form 10-Q and our Annual Report on Form 10-K for the fiscal year ended September 30, 2014 (referred to as our 2014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95"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since September 30, 2014. For further information, please see the discussion of critical accounting policies included in our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December 31, 2014 and 2013</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Borders>
              <w:bottom w:val="single" w:sz="8" w:color="auto"/>
            </w:tcBorders>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left="30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$ 77,498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4,519</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4,263</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2,769</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2,087</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6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warrant liability and Series 1 nonconvertible preferred</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14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(28,502)</w:t>
            </w:r>
          </w:p>
        </w:tc>
        <w:tc>
          <w:tcPr>
            <w:tcW w:w="3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12"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4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AbbVie agreement:</w:t>
            </w:r>
          </w:p>
        </w:tc>
        <w:tc>
          <w:tcPr>
            <w:tcW w:w="2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payments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$ 75,000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Royalties</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NIAID contract</w:t>
            </w:r>
          </w:p>
        </w:tc>
        <w:tc>
          <w:tcPr>
            <w:tcW w:w="2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$ 77,498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$ 893</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recognized revenue of $77.5 million during the three months ended December 31, 2014, as compared to $0.9 million during the three months ended December 31, 2013. During the three months ended December 31, 2014, revenue consisted of a $75.0 million milestone payment due from AbbVie based on U.S. FDA approval of AbbVie’s new treatment for HCV containing paritaprevir, $1.4 million in royalties payable on the portion of AbbVie’s net sales of its recently approved HCV treatment regimen allocable to paritaprevir, and $1.1 million under our contract with NIAID. During the three months ended December 31, 2013, revenue related to our performance of services under our contract with NIAID for antibiotic development.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0"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programs: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Antibiotic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drug discovery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$4.5 million in the three months ended December 31, 2014, as compared to $4.3 million for the same period in 2013. The $0.2 million increase was due primarily to an increase in expenses related to our early stage drug discovery programs. We incurred increased research expenses in the first quarter of fiscal 2015 as compared to the 2014 quarter in our early stage drug discovery programs due to a higher number of preclinical studies and related costs.</w:t>
      </w:r>
    </w:p>
    <w:p>
      <w:pPr>
        <w:spacing w:after="0" w:line="17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$0.7 million from $2.1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2013 to $2.8 million for the same period in 2014. The increase was primarily due to increased stock-based compensation expense related to additional employee stock options and a higher value of our common stock, as well as additional expense to support our expanding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Changes in components of other income (expense) were as follows:</w:t>
      </w:r>
    </w:p>
    <w:p>
      <w:pPr>
        <w:spacing w:after="0" w:line="22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The increase in interest income for the three months ended December 31, 2014, as compared to the three months ended December 31,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due to higher average investment balances in the first fiscal quarter of 2015 as compared to 2014 primarily due to the receipt of $40.0 million of milestone payments from AbbVie in the third fiscal quarter of 2014.</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warrant liability and Series 1 nonconvertible preferred stock</w:t>
      </w:r>
      <w:r>
        <w:rPr>
          <w:rFonts w:ascii="Times New Roman" w:cs="Times New Roman" w:eastAsia="Times New Roman" w:hAnsi="Times New Roman"/>
          <w:sz w:val="18"/>
          <w:szCs w:val="18"/>
          <w:color w:val="auto"/>
        </w:rPr>
        <w:t>. During the three months ended December 31, 2014, we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 $0.2 million due to a decrease in the fair value of our warrant liability and Series 1 nonconvertible preferred stock as a result of the remeasurement of our warrant liability and Series 1 nonconvertible preferred stock.</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For the three months ended December 31, 2014 and December 31, 2013, we recorded an income tax provision of $28.5 million and $0,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representing an effective tax rate of 40.4% and 0.0%, respectively. The income tax provision for the three months ended December 31, 2014 was primarily attributable to the tax provision on the earnings of our domestic operations. During the three months ended December 31, 2014, the gross deferred tax assets decreased by $9,568 as a result of their utilization due to income before income taxes generated during the period. No provision for income tax was recorded for the three months ended December 31, 2013, as we maintained a valuation allowance against our deferred tax assets. The valuation allowance was reversed during the three months ended June 30, 2014.</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December 31, 2014, our principal sources of liquidity were cash, cash equivalents and short-term and long-term marketable securities totaling $127.6 million.</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From our inception through December 31, 2014, we have financed our operations, primarily through contract payments under our collaborations, government research and development contracts and grants, private placements, and our initial public offering of our equity. The following table shows a summary of our cash flows for the three months ended December 31, 2014 and 2013.</w:t>
      </w:r>
    </w:p>
    <w:p>
      <w:pPr>
        <w:spacing w:after="0" w:line="197"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44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2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3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$(5,610)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(5,871)</w:t>
            </w: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08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$ 7,027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CEEFF"/>
          </w:tcPr>
          <w:p>
            <w:pPr>
              <w:spacing w:after="0"/>
              <w:rPr>
                <w:sz w:val="18"/>
                <w:szCs w:val="18"/>
                <w:color w:val="auto"/>
              </w:rPr>
            </w:pPr>
          </w:p>
        </w:tc>
      </w:tr>
      <w:tr>
        <w:trPr>
          <w:trHeight w:val="234"/>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08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$ 2,014</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2014, operating activities used $5.6 million of cash. Cash used in operating activities primarily resulted from our net income of $42.0 million and net non-cash charges of $10.9 million, offset by the net change in operating assets and liabilities of $58.5 million. Our net income in the period was primarily due to normal operating expenses and revenue consisting of a $75.0 million milestone payable by and $1.4 million in royalties due from AbbVie and $1.1 million of reimbursement under our NIAID contract. Our net non-cash charges in the period primarily consisted of change in deferred tax assets of $11.5 million, $1.0 million of stock-based compensation expense and $0.5 million related to amortization of the premium on our marketable securities, which were partially offset by $1.9 million income tax benefit from exercise of stock options. The $74.0 million increase in accounts receivable and unbilled receivables was due to the $75.0 million milestone earned but not yet received from AbbVie as of December 31, 2014, as well as timing of our billings under the NIAID contract. The $16.9 million increase in accrued taxes payable is a result of the current tax provision on pretax income during the period offset by the use of deferred tax assets. The $1.8 million decrease in accounts payable and in accrued expenses was primarily due to the timing of payments made by us to vendors.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2013, operating activities used $5.9 million of cash. Cash used in operating activities primarily resulted from our net loss of $5.4 million, a net change in operating assets and liabilities of $1.2 million and a premium on marketable securities of $0.4 million, which were partially offset by net non-cash charges of $1.1 million. Our net loss in the period was primarily due to normal operating expenses and revenue consisting solely of reimbursement under our NIAID contract. We earned no milestone payments from AbbVie or Novartis in the period. Our net non-cash charges in the period primarily consisted of $0.4 million of stock-based compensation expense and $0.6 million related to amortization of the premium on our marketable securities. The $0.4 million decrease in accounts receivable and unbilled receivables was due to the timing of our billings under the NIAID contract and the Novartis agreement. The $0.6 million decrease in accounts payable as well as the $1.3 million decrease in accrued expenses was primarily due to the timing of payments made by us to vendors.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2014, net cash provided by investing activities was $7.0 million. Net cash provided by investing activities during the period consisted primarily of cash received from sales and maturities of marketable securities of $15.4 million offset by $8.2 million used to purchase marketable securities.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2013, net cash provided by investing activities was $1.3 million. Net cash used in investing activities during the period consisted primarily of $10.2 million used to purchase marketable securities, offset by cash received from sales and maturities of marketable securities of $11.6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December 31, 2014 was $2.0 million and consisted of income tax benefit from exercise of stock options of $1.9 million and proceeds from exercise of stock options of $0.1 million.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December 31, 2013 was $0.1 million and consisted solely of proceeds from exercise of stock options.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2014, we had $127.6 million in cash, cash equivalents and short-term and long-term marketable securities. We believe that our existing cash, cash equivalents and marketable securities as of December 31, 2014, will be sufficient to meet our anticipated cash requirements for at least the next 24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existing collaborations continue to generate substantial milestone payments, and significant royalties,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exercise any opt-in right under the AbbVie Agreement regarding any protease inhibitor other than paritaprevir or ABT-493;</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future product candidates we pursue;</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of our future product candidates on our own, and conducting preclinical research and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future product candidates we develop independently;</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future product candidates we develop independently that are approved for sale, including marketing, sales and distribution costs;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future product candidates and any products we successfully commercialize independently;</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collaborations and to establish new collaborations, licensing or other arrangements and the financial terms of such agreements;</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litigation costs and the outcome of such litigation;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paritaprevir, ABT-493 and our future product candidates, if 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our Annual Report on Form 10-K for the year ended September 30, 2014,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three months ended December 31,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new standard will be effective for us on October 1, 2017. We are currently evaluating the potential impact that Topic 606 may have on our financial position and results of operations.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and long-term marketable securities of $127.6 million at December 31, 2014, which consisted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December 31, 2014.</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9"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2"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prospects for the next several years are substantially dependent upon the development and commercialization efforts of AbbVie for combination therapies incorporating paritaprevir (ABT-450) or ABT-493 for the treatment of HCV. AbbVie may act in its best interest rather than in our best interest, which could adversely affect our business.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rely on AbbVie to fund and conduct the clinical development and commercialization of paritaprevir, ABT-493 (a next-generation protease inhibitor in clinical development) and any other protease inhibitors we develop, over which AbbVie has complete 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limited control over the resources, time and effort that AbbVie may devote to paritaprevir or ABT-493. Any of several events or factors could have a material adverse effect on our ability to generate revenue from AbbVie’s potential commercialization of paritaprevir or ABT-493 in combination therapies. For example, AbbVie:</w:t>
      </w:r>
    </w:p>
    <w:p>
      <w:pPr>
        <w:spacing w:after="0" w:line="93"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to comply with additional requests and recommendations from the FDA, including additional clinical trials;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make all regulatory filings and obtain all necessary approvals from the FDA and similar foreign regulatory agencies and reimbursement approvals;</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achieve satisfactory levels of market acceptance and reimbursement of combination therapies incorporating our product candidate by physicians, patients and third-party payors;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compete successfully with any such combination therapies against alternative products and therapies for HCV;</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unable to successfully complete the clinical development of an ABT-493-containing regimen;</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development or regulatory approval of ABT-493 or to the marketing and distribution of a regimen containing paritaprevir or ABT-493, whether for competitive or strategic reasons or otherwise due to a change in business priorities;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cease to perform its obligations under the terms of our collaboration agreement;</w:t>
      </w:r>
    </w:p>
    <w:p>
      <w:pPr>
        <w:spacing w:after="0" w:line="130"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unilaterally terminate our collaboration agreement on specified prior notice without any reason and without any further commitment to continue development of any of our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able to manufacture our product candidate in compliance with requirements of the FDA and similar foreign regulatory agencies and in commercial quantities sufficient to meet market demand;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independently develop products that compete with our product candidate in the treatment of HCV.</w:t>
      </w:r>
    </w:p>
    <w:p>
      <w:pPr>
        <w:spacing w:after="0" w:line="2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do not have access to all information regarding the products being developed and potentially commercialized by AbbVie, including information about clinical trial design and execution, safety reports from clinical trials, spontaneous safety reports if the product is later approved and marketed, regulatory affairs, process development, manufacturing, marketing, sales and other areas known by AbbVie. Thus, our ability to keep our stockholders informed about the status of product candidates under our collaboration will be limited by the degree to which AbbVie keeps us informed. If AbbVie does not perform in the manner we expect or fulfill its responsibilities in a timely manner, or at all, the clinical development, regulatory approval and commercialization efforts related to paritaprevir or ABT-493 could be delayed or terminated or be commercially unsuccessful. In addition, AbbVie has the right to make decisions regarding the development and commercialization of product candidates without consulting us, and may make decisions with which we do not agree. Conflicts between us and AbbVie may arise if there is a dispute about the progress of the clinical development of a product candidate, the achievement and payment of a milestone amount, the 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AbbVie face substantial competition in the market for HCV drugs and for anti-infectives generally, which may result in others discovering, developing or commercializing products before us or doing so more successfully than we and our collaborators.</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MRSA and other infectious diseases that we may target in the future.</w:t>
      </w:r>
    </w:p>
    <w:p>
      <w:pPr>
        <w:spacing w:after="0" w:line="17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expect our current and future product candidates to face intense and increasing competition as new products enter the HCV and antibacterial markets and advanced technologies become available, particularly in the case of HCV in combinations with existing products and other new products. First generation protease inhibitors, Incivek™ (telaprevir) of Vertex and Victrelis™ (boceprevir) of Merck, were approved in 2011 by the FDA for the treatment of HCV in combination with interferon and ribavirin, which in combination were the previous standard of care. However, by mid-2014 Vertex informed health care providers that it would discontinue the sale and distribution of Incivek in the U.S. by October 16, 2014, noting competing treatments and diminishing market demand. A third protease inhibitor, simeprevir (Olysio™) from Janssen Therapeutics was approved by the FDA in November 2013 for use in genotype 1 HCV patients only when used in combination with pegylated interferon and ribavirin. The evolving competitive landscape in HCV intensified in December 2013, when the FDA approved sofosbuvir (Sovaldi™), a nucleotide analogue inhibitor of the HCV NS5B polymerase enzyme from Gilead for patients with genotype 2 or 3 HCV and no requirement for interferon (also approved for patients with genotypes 1 or 4 when combined with pegylated interferon and ribavirin). In October 2014 the FDA approved Gilead’s interferon-free Harvoni™, a ledipasvir/sofosbuvir combination for patients with genotype 1 HCV. Also in November 2014 the FDA approved an interferon-free combination therapy of simeprevir and sofusbuvir for genotype 1 HCV patients. Other all-oral treatment regimens, including additional regimens with Sovaldi™, are under development and may obtain regulatory approvals for other forms of HCV. These other potential new treatment regimens may render our HCV product candidates noncompetitive. In particular, regimens containing our HCV product candidates may not be able to compete successfully with other products and regimens in development involving multiple classes of inhibitors of HCV, including protease inhibitors, polymerase inhibitors (nucleoside and non-nucleoside), NS5A inhibitors and cyclophilin inhibitors, under development by companies such as Achillion, Bristol-Myers Squibb, Gilead, Johnson &amp; Johnson, Medivir, Merck, Presidio, Regulus and Roche and Theravance Biopharma, as well as by our collaborator AbbVie.</w:t>
      </w:r>
    </w:p>
    <w:p>
      <w:pPr>
        <w:spacing w:after="0" w:line="1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competitors may succeed in developing competing products and obtaining regulatory approval before we or our collaborators do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successfully market that product candidate as a second competitor. In addition, any new product that competes with an approved product must demonstrate compelling advantages in efficacy, convenience, tolerability and safety in order to overcome price competition and to be commercially successful.</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the availability and cost of supply, marketing and sales capabilities, reimbursement coverage, price, patent position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collaborators are not able to compete effectively against our current and future competitors, our business will not grow and our financial condition, operations and stock price will suffer.</w:t>
      </w:r>
    </w:p>
    <w:p>
      <w:pPr>
        <w:spacing w:after="0" w:line="1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developed any approved products and we have limited clinical development experience, which makes it difficult to assess our ability to develop and commercialize our future product candidates.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date, AbbVie has been and will continue to be responsible for all of the clinical development of our paritaprevir and ABT-493 protease inhibitor product candidates. We have not yet demonstrated an ability to successfully address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programs for any combinations of any of our NS5A inhibitors, cyclophilin inhibitors and nucleotide polymerase inhibitors for HCV, we will need to successfully:</w:t>
      </w:r>
    </w:p>
    <w:p>
      <w:pPr>
        <w:spacing w:after="0" w:line="89"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development of our future product candidates;</w:t>
      </w:r>
    </w:p>
    <w:p>
      <w:pPr>
        <w:spacing w:after="0" w:line="130" w:lineRule="exact"/>
        <w:rPr>
          <w:rFonts w:ascii="Times New Roman" w:cs="Times New Roman" w:eastAsia="Times New Roman" w:hAnsi="Times New Roman"/>
          <w:sz w:val="18"/>
          <w:szCs w:val="18"/>
          <w:color w:val="auto"/>
        </w:rPr>
      </w:pPr>
    </w:p>
    <w:p>
      <w:pPr>
        <w:ind w:left="5620" w:right="2300" w:hanging="5045"/>
        <w:spacing w:after="0" w:line="454" w:lineRule="auto"/>
        <w:tabs>
          <w:tab w:leader="none" w:pos="8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our future product candidates; 28</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future collaborations we may enter into for any of these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independently or in collaboration with future collaborators;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future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future product candidates and expand our business or continue our operations.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financing to achieve our goals if the development and commercialization of paritaprevir or ABT-493 is delayed or terminated. A failure to obtain this necessary capital when needed could force us to delay, limit, reduce or terminate our product development efforts.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preclinical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candidates paritaprevir and ABT-493. In addition, we may seek opportunities to in-license or otherwise acquire new therapeutic candidates and therapies.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the outcome of planned and anticipated clinical trials of our product candidates by any collaborator of ours is highly uncertain, we cannot reasonably estimate the timing or amounts, if any, of future milestone payments we will receive from a collaborator. If we do not continue to receive substantial milestone payments from the continued development of our product candidates, we may require substantial additional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31"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collaboration of ours continues to generate substantial milestone payments, and ultimately royalties,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future product candidates we pursue;</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of our future product candidates on our own, including conducting preclinical research and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future product candidates we develop independently;</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future product candidates we develop independently that are approved for sale, including marketing, sales and distribution costs;</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future product candidates and any products we successfully commercialize independently, including manufacturing for clinical development;</w:t>
      </w:r>
    </w:p>
    <w:p>
      <w:pPr>
        <w:spacing w:after="0" w:line="67"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any collaboration of ours and to establish new collaborations, licensing or other arrangements and the financial terms of such agreements;</w:t>
      </w:r>
    </w:p>
    <w:p>
      <w:pPr>
        <w:spacing w:after="0" w:line="67"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litigation costs and the outcome of such litigation;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net sales of any combination regimen that is allocable to a compound developed by us or in one of our collaborations;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paritaprevir, ABT-493 and our future product candidates, if any.</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further product candidates in addition to paritaprevir, ABT-493 and EDP-239 our ability to expand our business and achieve our strategic objectives may be impaired.</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82"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additional potential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future product candidates obsolete;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obtain intellectual property protection that effectively prevents us from developing a potential product candidate;</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 product candidate may, on further study, be shown to have harmful side effects or other characteristics that indicate it is unlikely to be effective or otherwise does not meet applicable regulatory criteria;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 product candidate may not be capable of being produced in commercial quantities at an acceptable cost, or at all.</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intends to retire or resign in the near future, the loss of services of any of these individuals or one or more of our other members of senior management could delay or prevent the successful development of our future product candidates.</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government funded contract for our antibiotic program is subject to termination for convenience of the government given our strategic decision not to pursue further commercial development of the program.</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our contract with the National Institute of Allergy and Infectious Diseases, or NIAID, a division of the National Institutes of Health, an agency of the United States Department of Health and Human Services, to support our antibiotic program, we notified NIAID in December 2014 that we had decided to discontinue development of our lead antibiotic candidate for non-biodefense indications. NIAID has subsequently confirmed to us that it is prepared to agree to amend our contract so that it will be completed upon our delivery of the Phase 1 clinical study report to NIAID. If we fail to deliver the clinical study report or to satisfy our other contractual obligations under the contract, the applicable Federal Acquisition Regulations allow the government to terminate the contract in whole or in part, and we may be required to perform corrective actions, including but not limited to delivering to the government any incomplete work. In addition, our contract may be terminated for convenience by NIAID at any time if it determines that termination is in the best interest of the government. Any decision by NIAID to terminate our contract before it is completed could have a material adverse effect on our results of operations in fiscal 2015.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our contract 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substantial cumulative net loss since our inception and it is possible that we may incur substantial operating losses in one or more years in the future. To date, our principal sources of revenue have been our collaboration agreements, including our current agreements with AbbVie and our prior agreement with Novartis, and future payments under the AbbVie agreement are uncertain. We have had no products approved for commercial sale by us. As a result, our ability to achieve sustained profitability is unproven.</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incurred cumulative net losses since our inception, and as of December 31, 2014, we had an accumulated deficit of $31.0 million. In the fiscal year ended September 30, 2012, our net income resulted primarily from a substantial upfront license payment from Novartis. In the fiscal year ended September 30, 2013, our net income resulted primarily from milestone payments we earned from AbbVie and Novartis of $15.0 million and $11.0 million, respectively. In our fiscal year ended September 30, 2014, our net income resulted primarily from a total of $40.0 million in milestone payments from AbbVie as a result of the U.S. regulatory filing with the FDA and the European Medicines Agency, or EMA, for the regimen containing the first protease inhibitor product resulting from our collaboration with AbbVie. There is no assurance, however, that we will report net income in subsequent years. To date, we have not commercialized any products ourselves and we have not yet generated substantial revenue from product sales by AbbVie.</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principal source of revenue has been our collaboration agreements, including our current agreement with AbbVie. Future milestone payments are uncertain because our collaborators may choose not to continue research or development activities for one or more potential product candidates.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being transferred back to us and our collaboration being terminated. In addition, we may not achieve the specified milestones, our product candidates may not be approved by the FDA or other regulatory authorities or, if they are approved, may not be accepted in the market. If we are unable to develop and commercialize any more of our product candidates, either alone or with our collaborators, or if any such product candidate or paritaprevir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product royalties or product sales, we may never achieve or sustain profitability on a quarterly or annual basis. Our failure to sustain profitability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may adversely affect our or our collaborators’ clinical development plans and jeopardize our or our collaborators’ ability to attain product approval, commence product sales, compete successfully against other HCV therapies and generate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for a variety of reasons, including delays related to:</w:t>
      </w:r>
    </w:p>
    <w:p>
      <w:pPr>
        <w:spacing w:after="0" w:line="131" w:lineRule="exact"/>
        <w:rPr>
          <w:sz w:val="20"/>
          <w:szCs w:val="20"/>
          <w:color w:val="auto"/>
        </w:rPr>
      </w:pPr>
    </w:p>
    <w:p>
      <w:pPr>
        <w:ind w:left="900" w:right="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suitable patients to participate in a trial;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product sufficient to complete our preclinical studies and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results of any Phase 3 clinical trial may not be adequate to support marketing approval. These clinical trials are lengthy and usually involve from many hundreds to thousands of patients. In addition, if the FDA or the EMA disagrees with our or our collaborator’s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our or our collaborator’s product candidate. The FDA or the EMA also may require additional clinical trials as a condition for approving any of these product candidates. We estimate that it will likely be our fiscal 2018 before an NDA for one of our or a collaborator’s product candidates other than paritaprevir could be approved by the FDA or the EMA.</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AbbVie are required to suspend or discontinue clinical trials due to side effects or other safety risks associated with our product candidates, or if we or AbbVie are required to conduct studies on the long-term effects associated with the use of our product candidates, efforts to commercialize our product candidates could be delayed or halted.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whether ABT-493, EDP-239 or any of our future product candidates, may not be predictive of the results of later-stage clinical trials.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17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Neither we nor our collaborator have obtained regulatory approval for any of our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900" w:right="102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the design or implementation of our or our collaborators’ clinical trials;</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67"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other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our or our collaborators’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67"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w:t>
      </w:r>
    </w:p>
    <w:p>
      <w:pPr>
        <w:spacing w:after="0" w:line="1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93" w:lineRule="exact"/>
        <w:rPr>
          <w:sz w:val="20"/>
          <w:szCs w:val="20"/>
          <w:color w:val="auto"/>
        </w:rPr>
      </w:pPr>
    </w:p>
    <w:p>
      <w:pPr>
        <w:ind w:left="900" w:right="42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collaborators,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AbbVie may delay or terminate the development of a product candidate at any time if we or AbbVie believe the perceived market or commercial opportunity does not justify further investment, which could materially harm our business.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Even though the results of preclinical studies and clinical trials that we or AbbVie have conducted or may conduct in the future may support further development of one or more of our product candidates, we, or AbbVie in the case of our partnered product candidates,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may have the right to make decisions regarding the development and commercialization of product candidates without consulting us, and may make decisions with which we do not agree.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future product candidates.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sales, marketing or distribution experience. We will seek to either build our own commercial infrastructure to commercialize any future products if and when they are approved, or enter into licensing or collaboration agreements where our collaborator is responsible for commercialization, like in the case of our collaboration with AbbVie, or where we have the right to assist in the future development and commercialization of such products.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82"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significant market acceptance among physicians, patients and healthcare payors of our paritaprevir or any other product candidates licensed to AbbVie, if approved, as well as of any future product candidates we plan to develop independently or in collaboration with others.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Paritaprevir, as well as ABT-493 or EDP-239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evolve rapidly as many new product candidates are being developed and tested. The degree of market acceptance of any products for which we receive approval for commercial sale depends on a number of factors, including:</w:t>
      </w:r>
    </w:p>
    <w:p>
      <w:pPr>
        <w:spacing w:after="0" w:line="86" w:lineRule="exact"/>
        <w:rPr>
          <w:sz w:val="20"/>
          <w:szCs w:val="20"/>
          <w:color w:val="auto"/>
        </w:rPr>
      </w:pPr>
    </w:p>
    <w:p>
      <w:pPr>
        <w:ind w:lef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treatment regimens containing one of our partnered product candidates, as demonstrated in clinical trials, and the degree to which these regimens represent a clinically meaningful improvement in care as compared with other available therapies;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treatment regimen containing one of our product candidates become approved;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among physicians, major operators of clinics and patients of any treatment regimen containing one of our product candidates as safe, effective and preferred treatments;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treatment regimens containing one of our product candidates over alternative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 and the impact of any agreements among any of the foregoing and one or more of our competitors limiting access to our product in favor of competitor’s product;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the HCV drug 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treatment regimen containing one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whether involving the use of our products candidates or similar, competitive products;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our collaborators’ sales and marketing efforts.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 market acceptance, then we may not be able to maintain that market acceptance over time.</w:t>
      </w:r>
    </w:p>
    <w:p>
      <w:pPr>
        <w:spacing w:after="0" w:line="17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AbbVie successfully commercializes paritaprevir in its HCV treatment regimen, or even if we or AbbVie are able to commercialize any other treatment regimen containing one of our product candidates, the resulting products may become subject to unfavorable pricing regulations, third-party reimbursement practices or healthcare reform initiatives in the United States, which would harm our business.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may significantly change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some states have indicated that they intend not to implement certain sections of the ACA, and some members of the U.S. Congress are still working to repeal the ACA. We cannot predict whether these challenges will continue or other proposals will be made or adopted, or what impact these efforts may have on us or AbbVie. AbbVie or any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we or our collaborators develop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920"/>
        <w:spacing w:after="0" w:line="282" w:lineRule="auto"/>
        <w:rPr>
          <w:sz w:val="20"/>
          <w:szCs w:val="20"/>
          <w:color w:val="auto"/>
        </w:rPr>
      </w:pPr>
      <w:r>
        <w:rPr>
          <w:rFonts w:ascii="Times New Roman" w:cs="Times New Roman" w:eastAsia="Times New Roman" w:hAnsi="Times New Roman"/>
          <w:sz w:val="18"/>
          <w:szCs w:val="18"/>
          <w:color w:val="auto"/>
        </w:rPr>
        <w:t>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profitability will be negatively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product collaborations, which could adversely affect our ability to develop and commercialize one or more of our future product candidates. If we are unsuccessful in maintaining or forming alliances on favorable terms, our business may not succeed.</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future product candidates. We face significant competition in seeking appropriate collaborators and the negotiation process is time-consuming and complex. Moreover, we may not be successful in our efforts to establish other product collaborations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7"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future product candidates would increase significantly and we may need to seek additional financing;</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candidate that is commercialized could be reduced.</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clinical product candidate supplies and any commercial supplies of any approved future product candidates. Any failure by a third-party manufacturer to produce acceptable supplies for us may delay or impair our ability to initiate or complete our clinical trials or sell any resulting product.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plan to work with third-party contract manufacturers to produce sufficient quantities of any future product candidates for preclinical testing, clinical trials and commercialization. If we are unable to arrange for such a third-party manufacturing source, or fail to do so on commercially reasonable terms, we may not be able to successfully produce, develop and market our future product candidates, or we may be delayed in doing so.</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plan to rely on third-party manufacturers to purchase from third-party suppliers the materials necessary to produce our future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portion of our manufacturing of certain key intermediates used in the manufacture of the active pharmaceutical ingredients for our future product candidates is expected to take place in China through third-party manufacturers, a significant disruption in the operation of those manufacturers or political unrest in China could materially adversely affect our business, financial condition and results of operations.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future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future product candidates. Furthermore, since these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9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monitor, support, conduct and/or oversee clinical trials of our future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rely on academic institutions, CROs, hospitals, clinics and other third-party collaborators who are outside our control to monitor, support, conduct and/or oversee preclinical and clinical studies of our future product candidates. We will also rely on third parties to perform clinical trials on our future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future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delayed or terminated, or our data may be rejected by the FDA or regulatory agencies.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elect to enter into additional licensing or collaboration agreements to partner our future product candidates, our dependence on such relationships may adversely affect our business.</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commercialization strategy for some of our future product candidates may depend on our ability to enter into collaboration agreements with other companies to obtain assistance and funding for the development and potential commercialization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8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unsuccessful in obtaining or maintaining adequate patent protection for one or more of our product candidates.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certain of our activities have been funded, and may in the future be funded, by the United States federal government. For example, the preclinical and early clinical development of our lead antibiotic candidate, which we are no longer planning to develop ourselves, for non-biodefense indications has been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 if challenged in court.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and product candidates in order to protect our competitive position in the field of HCV and anti-infectives.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protect us from all potential threats to our competitive advantage.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7" w:lineRule="exact"/>
        <w:rPr>
          <w:sz w:val="20"/>
          <w:szCs w:val="20"/>
          <w:color w:val="auto"/>
        </w:rPr>
      </w:pPr>
    </w:p>
    <w:p>
      <w:pPr>
        <w:ind w:left="900" w:right="1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7"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1"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67" w:lineRule="exact"/>
        <w:rPr>
          <w:rFonts w:ascii="Times New Roman" w:cs="Times New Roman" w:eastAsia="Times New Roman" w:hAnsi="Times New Roman"/>
          <w:sz w:val="18"/>
          <w:szCs w:val="18"/>
          <w:color w:val="auto"/>
        </w:rPr>
      </w:pPr>
    </w:p>
    <w:p>
      <w:pPr>
        <w:ind w:left="900" w:right="340" w:hanging="325"/>
        <w:spacing w:after="0" w:line="261"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85"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61"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85"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67"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has been widely reported, global credit and financial markets have been experiencing extreme disruptions over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the recent economic downturn and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necessary debt or equity financing more difficult to secure, more costly and/or more dilutive.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merits or eventual outcome, liability claims may result in:</w:t>
      </w:r>
    </w:p>
    <w:p>
      <w:pPr>
        <w:spacing w:after="0" w:line="131"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ind w:right="120"/>
        <w:spacing w:after="0" w:line="253" w:lineRule="auto"/>
        <w:rPr>
          <w:sz w:val="20"/>
          <w:szCs w:val="20"/>
          <w:color w:val="auto"/>
        </w:rPr>
      </w:pPr>
      <w:r>
        <w:rPr>
          <w:rFonts w:ascii="Times New Roman" w:cs="Times New Roman" w:eastAsia="Times New Roman" w:hAnsi="Times New Roman"/>
          <w:sz w:val="18"/>
          <w:szCs w:val="18"/>
          <w:color w:val="auto"/>
        </w:rPr>
        <w:t>$5.0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9" w:lineRule="exact"/>
        <w:rPr>
          <w:sz w:val="20"/>
          <w:szCs w:val="20"/>
          <w:color w:val="auto"/>
        </w:rPr>
      </w:pPr>
    </w:p>
    <w:p>
      <w:pPr>
        <w:ind w:left="900" w:hanging="325"/>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83" w:lineRule="exact"/>
        <w:rPr>
          <w:rFonts w:ascii="Times New Roman" w:cs="Times New Roman" w:eastAsia="Times New Roman" w:hAnsi="Times New Roman"/>
          <w:sz w:val="18"/>
          <w:szCs w:val="18"/>
          <w:color w:val="auto"/>
        </w:rPr>
      </w:pPr>
    </w:p>
    <w:p>
      <w:pPr>
        <w:jc w:val="both"/>
        <w:ind w:left="900" w:right="40" w:hanging="325"/>
        <w:spacing w:after="0" w:line="267"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0" w:lineRule="exact"/>
        <w:rPr>
          <w:rFonts w:ascii="Times New Roman" w:cs="Times New Roman" w:eastAsia="Times New Roman" w:hAnsi="Times New Roman"/>
          <w:sz w:val="18"/>
          <w:szCs w:val="18"/>
          <w:color w:val="auto"/>
        </w:rPr>
      </w:pPr>
    </w:p>
    <w:p>
      <w:pPr>
        <w:ind w:left="900" w:right="240" w:hanging="325"/>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85" w:lineRule="exact"/>
        <w:rPr>
          <w:rFonts w:ascii="Times New Roman" w:cs="Times New Roman" w:eastAsia="Times New Roman" w:hAnsi="Times New Roman"/>
          <w:sz w:val="18"/>
          <w:szCs w:val="18"/>
          <w:color w:val="auto"/>
        </w:rPr>
      </w:pPr>
    </w:p>
    <w:p>
      <w:pPr>
        <w:ind w:left="900" w:right="68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81" w:lineRule="exact"/>
        <w:rPr>
          <w:rFonts w:ascii="Times New Roman" w:cs="Times New Roman" w:eastAsia="Times New Roman" w:hAnsi="Times New Roman"/>
          <w:sz w:val="18"/>
          <w:szCs w:val="18"/>
          <w:color w:val="auto"/>
        </w:rPr>
      </w:pPr>
    </w:p>
    <w:p>
      <w:pPr>
        <w:ind w:left="900" w:right="20" w:hanging="325"/>
        <w:spacing w:after="0" w:line="25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8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6"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or staggered board of directors such that not all members of the board are elected at one time;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parties to employment agreements that provide for aggregate cash payments of up to approximately $3.2 million for severance and other benefits and acceleration of vesting of stock options in the event of a termination of employment in connection with a change of control of our company. Based on the December 31, 2014 closing price of our common stock at $50.85 per share, the aggregate intrinsic value of unvested stock options subject to accelerated vesting upon these events was $13.3 million as of December 31, 2014. The accelerated vesting of options could result in dilution to our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for up to five years,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from the year of our IPO in 2013.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be volatile, and thus our stockholders could incur substantial losses.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6" w:lineRule="exact"/>
        <w:rPr>
          <w:sz w:val="20"/>
          <w:szCs w:val="20"/>
          <w:color w:val="auto"/>
        </w:rPr>
      </w:pPr>
    </w:p>
    <w:p>
      <w:pPr>
        <w:ind w:left="900" w:right="68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any of our collaborators regarding our product candidates they are developing, including announcements regarding clinical or regulatory developments or our collaboration;</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 as well as results of regulatory reviews relating to the approval of our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or technologies introduced or announced by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decision to initiate a clinical trial, not to initiate a clinical trial or to terminate an existing clinical trial;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clinical trial sponsors and clinical investigators;</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or other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future product candidates we develop independently, if approved;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2014, we had outstanding 18,613,229 shares of common stock. In addition, 2,341,588 shares of common stock that are either subject to outstanding options or reserved for future issuance under our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w:t>
      </w:r>
    </w:p>
    <w:p>
      <w:pPr>
        <w:sectPr>
          <w:pgSz w:w="11900" w:h="16838" w:orient="portrait"/>
          <w:cols w:equalWidth="0" w:num="1">
            <w:col w:w="11400"/>
          </w:cols>
          <w:pgMar w:left="240" w:top="455"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240" w:top="455" w:right="7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the Sale of Registered Securities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2013, we completed our IPO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2014, we have used approximately $22.3 million of the net proceeds from the IPO to fund our programs for the development of a cyclophilin inhibitor candidate and the development of a nucleotide polymerase inhibitor candidate and to fund new research and development activities. None of the net proceeds has been paid directly or indirectly to any of our directors or officers (or their associates) or persons owning ten percent or more of any class of our equity securities or to any other affiliates. The balance of the net proceeds from the offering has been invested in cash and cash equivalents and in short-term and long-term marketable securities, consisting of investment grade, interest bearing instruments and U.S. government securities, with maturities of no longer than 38 months. These investments are reflected in cash and cash equivalents, short-term marketable securities and long-term marketable securities on our balance sheet at December 31, 2014. There has been no material change in the expected use of the net proceeds from our IPO as described in our registration statement on Form S-1.</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20"/>
          </w:cols>
          <w:pgMar w:left="24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2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29"/>
        </w:trPr>
        <w:tc>
          <w:tcPr>
            <w:tcW w:w="740" w:type="dxa"/>
            <w:vAlign w:val="bottom"/>
            <w:gridSpan w:val="2"/>
            <w:vMerge w:val="continue"/>
          </w:tcPr>
          <w:p>
            <w:pPr>
              <w:spacing w:after="0"/>
              <w:rPr>
                <w:sz w:val="11"/>
                <w:szCs w:val="11"/>
                <w:color w:val="auto"/>
              </w:rPr>
            </w:pPr>
          </w:p>
        </w:tc>
        <w:tc>
          <w:tcPr>
            <w:tcW w:w="6200" w:type="dxa"/>
            <w:vAlign w:val="bottom"/>
            <w:gridSpan w:val="3"/>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340" w:type="dxa"/>
            <w:vAlign w:val="bottom"/>
          </w:tcPr>
          <w:p>
            <w:pPr>
              <w:spacing w:after="0"/>
              <w:rPr>
                <w:sz w:val="11"/>
                <w:szCs w:val="11"/>
                <w:color w:val="auto"/>
              </w:rPr>
            </w:pPr>
          </w:p>
        </w:tc>
        <w:tc>
          <w:tcPr>
            <w:tcW w:w="9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00" w:type="dxa"/>
            <w:vAlign w:val="bottom"/>
            <w:gridSpan w:val="3"/>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Restated Certificate of Incorporation of Enanta Pharmaceuticals, Inc.</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03/28/2013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Enanta Pharmaceuticals, Inc.</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03/28/2013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10.1†</w:t>
            </w: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Third Amendment to Collaborative Development and License Agreement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12/11/2014</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between the Company and AbbVie dated October 20, 2014.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320"/>
          </w:cols>
          <w:pgMar w:left="240" w:top="455" w:right="339" w:bottom="1440" w:gutter="0" w:footer="0" w:header="0"/>
        </w:sectPr>
      </w:pPr>
    </w:p>
    <w:p>
      <w:pPr>
        <w:ind w:left="820" w:right="140" w:hanging="71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pursuant to Rule 13a-14(a) or 15d-14(a) of the Securities Exchange Act of 1934.</w:t>
      </w:r>
    </w:p>
    <w:p>
      <w:pPr>
        <w:spacing w:after="0" w:line="54" w:lineRule="exact"/>
        <w:rPr>
          <w:sz w:val="20"/>
          <w:szCs w:val="20"/>
          <w:color w:val="auto"/>
        </w:rPr>
      </w:pPr>
    </w:p>
    <w:p>
      <w:pPr>
        <w:ind w:left="820" w:right="60" w:hanging="71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Rule 13a-14(a) or 15d-14(a) of the Securities Exchange Act of 1934.</w:t>
      </w:r>
    </w:p>
    <w:p>
      <w:pPr>
        <w:spacing w:after="0" w:line="54" w:lineRule="exact"/>
        <w:rPr>
          <w:sz w:val="20"/>
          <w:szCs w:val="20"/>
          <w:color w:val="auto"/>
        </w:rPr>
      </w:pPr>
    </w:p>
    <w:p>
      <w:pPr>
        <w:ind w:left="820" w:hanging="719"/>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76"/>
              </w:rPr>
              <w:t>X</w:t>
            </w: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76"/>
              </w:rPr>
              <w:t>X</w:t>
            </w: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521" w:lineRule="exact"/>
        <w:rPr>
          <w:sz w:val="20"/>
          <w:szCs w:val="20"/>
          <w:color w:val="auto"/>
        </w:rPr>
      </w:pPr>
    </w:p>
    <w:p>
      <w:pPr>
        <w:sectPr>
          <w:pgSz w:w="11900" w:h="16838" w:orient="portrait"/>
          <w:cols w:equalWidth="0" w:num="2">
            <w:col w:w="6640" w:space="420"/>
            <w:col w:w="4260"/>
          </w:cols>
          <w:pgMar w:left="240" w:top="455" w:right="339" w:bottom="1440" w:gutter="0" w:footer="0" w:header="0"/>
          <w:type w:val="continuous"/>
        </w:sectPr>
      </w:pPr>
    </w:p>
    <w:p>
      <w:pPr>
        <w:ind w:left="820" w:hanging="819"/>
        <w:spacing w:after="0" w:line="261" w:lineRule="auto"/>
        <w:tabs>
          <w:tab w:leader="none" w:pos="8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Quarterly Report of Enanta Pharmaceuticals, X Inc. on Form 10-Q for the quarter ended December 31, 2014, formatted in XBRL</w:t>
      </w:r>
    </w:p>
    <w:p>
      <w:pPr>
        <w:ind w:left="820" w:right="4720"/>
        <w:spacing w:after="0" w:line="250" w:lineRule="auto"/>
        <w:rPr>
          <w:sz w:val="20"/>
          <w:szCs w:val="20"/>
          <w:color w:val="auto"/>
        </w:rPr>
      </w:pPr>
      <w:r>
        <w:rPr>
          <w:rFonts w:ascii="Times New Roman" w:cs="Times New Roman" w:eastAsia="Times New Roman" w:hAnsi="Times New Roman"/>
          <w:sz w:val="18"/>
          <w:szCs w:val="18"/>
          <w:color w:val="auto"/>
        </w:rPr>
        <w:t>(eXtensible Business Reporting Language): (i) Consolidated Balance Sheets as of December 31, 2014 and September 30, 2014 of Enanta Pharmaceuticals, Inc.,</w:t>
      </w:r>
    </w:p>
    <w:p>
      <w:pPr>
        <w:spacing w:after="0" w:line="1" w:lineRule="exact"/>
        <w:rPr>
          <w:sz w:val="20"/>
          <w:szCs w:val="20"/>
          <w:color w:val="auto"/>
        </w:rPr>
      </w:pPr>
    </w:p>
    <w:p>
      <w:pPr>
        <w:ind w:left="820" w:right="4680" w:hanging="2"/>
        <w:spacing w:after="0" w:line="253" w:lineRule="auto"/>
        <w:tabs>
          <w:tab w:leader="none" w:pos="108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for the three months ended December 31, 2014 and 2013 of Enanta Pharmaceuticals, Inc., (iii) Statements of Cash Flows for the three months ended December 31, 2014 and 2013 of Enanta Pharmaceuticals, Inc., and (iv) Notes to Consolidated Financial Statements of Enanta Pharmaceuticals, Inc.</w:t>
      </w:r>
    </w:p>
    <w:p>
      <w:pPr>
        <w:spacing w:after="0" w:line="16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this Exhibit. The confidential portions of this Exhibit have been omitted and are marked by asterisks.</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2015</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4"/>
        </w:trPr>
        <w:tc>
          <w:tcPr>
            <w:tcW w:w="520" w:type="dxa"/>
            <w:vAlign w:val="bottom"/>
            <w:vMerge w:val="continue"/>
          </w:tcPr>
          <w:p>
            <w:pPr>
              <w:spacing w:after="0"/>
              <w:rPr>
                <w:sz w:val="9"/>
                <w:szCs w:val="9"/>
                <w:color w:val="auto"/>
              </w:rPr>
            </w:pPr>
          </w:p>
        </w:tc>
        <w:tc>
          <w:tcPr>
            <w:tcW w:w="6420" w:type="dxa"/>
            <w:vAlign w:val="bottom"/>
            <w:gridSpan w:val="3"/>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340" w:type="dxa"/>
            <w:vAlign w:val="bottom"/>
          </w:tcPr>
          <w:p>
            <w:pPr>
              <w:spacing w:after="0"/>
              <w:rPr>
                <w:sz w:val="9"/>
                <w:szCs w:val="9"/>
                <w:color w:val="auto"/>
              </w:rPr>
            </w:pPr>
          </w:p>
        </w:tc>
        <w:tc>
          <w:tcPr>
            <w:tcW w:w="9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2"/>
                <w:szCs w:val="12"/>
                <w:b w:val="1"/>
                <w:bCs w:val="1"/>
                <w:color w:val="auto"/>
              </w:rPr>
              <w:t>Exhibit</w:t>
            </w:r>
          </w:p>
        </w:tc>
        <w:tc>
          <w:tcPr>
            <w:tcW w:w="140" w:type="dxa"/>
            <w:vAlign w:val="bottom"/>
          </w:tcPr>
          <w:p>
            <w:pPr>
              <w:spacing w:after="0"/>
              <w:rPr>
                <w:sz w:val="9"/>
                <w:szCs w:val="9"/>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Restated Certificate of Incorporation of Enanta Pharmaceuticals, Inc.</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03/28/2013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Amended and Restated Bylaws of Enanta Pharmaceuticals, Inc.</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03/28/2013</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Third Amendment to Collaborative Development and License Agreement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12/11/2014</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between the Company and AbbVie dated October 20, 2014.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320"/>
          </w:cols>
          <w:pgMar w:left="240" w:top="455" w:right="339" w:bottom="1440" w:gutter="0" w:footer="0" w:header="0"/>
        </w:sectPr>
      </w:pPr>
    </w:p>
    <w:p>
      <w:pPr>
        <w:ind w:left="820" w:right="140" w:hanging="71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pursuant to Rule 13a-14(a) or 15d-14(a) of the Securities Exchange Act of 1934.</w:t>
      </w:r>
    </w:p>
    <w:p>
      <w:pPr>
        <w:spacing w:after="0" w:line="54" w:lineRule="exact"/>
        <w:rPr>
          <w:sz w:val="20"/>
          <w:szCs w:val="20"/>
          <w:color w:val="auto"/>
        </w:rPr>
      </w:pPr>
    </w:p>
    <w:p>
      <w:pPr>
        <w:ind w:left="820" w:right="60" w:hanging="71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Rule 13a-14(a) or 15d-14(a) of the Securities Exchange Act of 1934.</w:t>
      </w:r>
    </w:p>
    <w:p>
      <w:pPr>
        <w:spacing w:after="0" w:line="54" w:lineRule="exact"/>
        <w:rPr>
          <w:sz w:val="20"/>
          <w:szCs w:val="20"/>
          <w:color w:val="auto"/>
        </w:rPr>
      </w:pPr>
    </w:p>
    <w:p>
      <w:pPr>
        <w:ind w:left="820" w:hanging="719"/>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76"/>
              </w:rPr>
              <w:t>X</w:t>
            </w: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76"/>
              </w:rPr>
              <w:t>X</w:t>
            </w: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521" w:lineRule="exact"/>
        <w:rPr>
          <w:sz w:val="20"/>
          <w:szCs w:val="20"/>
          <w:color w:val="auto"/>
        </w:rPr>
      </w:pPr>
    </w:p>
    <w:p>
      <w:pPr>
        <w:sectPr>
          <w:pgSz w:w="11900" w:h="16838" w:orient="portrait"/>
          <w:cols w:equalWidth="0" w:num="2">
            <w:col w:w="6640" w:space="420"/>
            <w:col w:w="4260"/>
          </w:cols>
          <w:pgMar w:left="240" w:top="455" w:right="339" w:bottom="1440" w:gutter="0" w:footer="0" w:header="0"/>
          <w:type w:val="continuous"/>
        </w:sectPr>
      </w:pPr>
    </w:p>
    <w:p>
      <w:pPr>
        <w:ind w:left="820" w:hanging="819"/>
        <w:spacing w:after="0" w:line="261" w:lineRule="auto"/>
        <w:tabs>
          <w:tab w:leader="none" w:pos="8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Quarterly Report of Enanta Pharmaceuticals, X Inc. on Form 10-Q for the quarter ended December 31, 2013, formatted in XBRL</w:t>
      </w:r>
    </w:p>
    <w:p>
      <w:pPr>
        <w:ind w:left="820" w:right="4720"/>
        <w:spacing w:after="0" w:line="250" w:lineRule="auto"/>
        <w:rPr>
          <w:sz w:val="20"/>
          <w:szCs w:val="20"/>
          <w:color w:val="auto"/>
        </w:rPr>
      </w:pPr>
      <w:r>
        <w:rPr>
          <w:rFonts w:ascii="Times New Roman" w:cs="Times New Roman" w:eastAsia="Times New Roman" w:hAnsi="Times New Roman"/>
          <w:sz w:val="18"/>
          <w:szCs w:val="18"/>
          <w:color w:val="auto"/>
        </w:rPr>
        <w:t>(eXtensible Business Reporting Language): (i) Consolidated Balance Sheets as of December 31, 2014 and September 30, 2014 of Enanta Pharmaceuticals, Inc.,</w:t>
      </w:r>
    </w:p>
    <w:p>
      <w:pPr>
        <w:spacing w:after="0" w:line="1" w:lineRule="exact"/>
        <w:rPr>
          <w:sz w:val="20"/>
          <w:szCs w:val="20"/>
          <w:color w:val="auto"/>
        </w:rPr>
      </w:pPr>
    </w:p>
    <w:p>
      <w:pPr>
        <w:ind w:left="820" w:right="4680" w:hanging="2"/>
        <w:spacing w:after="0" w:line="253" w:lineRule="auto"/>
        <w:tabs>
          <w:tab w:leader="none" w:pos="10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for the three months ended December 31, 2014 and 2013 of Enanta Pharmaceuticals, Inc., (iii) Statements of Cash Flows for the three months ended December 31, 2014 and 2013 of Enanta Pharmaceuticals, Inc., and (iv) Notes to Consolidated Financial Statements of Enanta Pharmaceuticals, Inc.</w:t>
      </w:r>
    </w:p>
    <w:p>
      <w:pPr>
        <w:spacing w:after="0" w:line="16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this Exhibit. The confidential portions of this Exhibit have been omitted and are marked by asterisks.</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type w:val="continuous"/>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31"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68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680" w:hanging="452"/>
        <w:spacing w:after="0" w:line="28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three months ended December 31, 2014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207"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February 6, 2015</w:t>
      </w:r>
      <w:r>
        <w:rPr>
          <w:sz w:val="20"/>
          <w:szCs w:val="20"/>
          <w:color w:val="auto"/>
        </w:rPr>
        <w:tab/>
      </w:r>
      <w:r>
        <w:rPr>
          <w:rFonts w:ascii="Times New Roman" w:cs="Times New Roman" w:eastAsia="Times New Roman" w:hAnsi="Times New Roman"/>
          <w:sz w:val="18"/>
          <w:szCs w:val="18"/>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February 6, 2015</w:t>
      </w:r>
      <w:r>
        <w:rPr>
          <w:sz w:val="20"/>
          <w:szCs w:val="20"/>
          <w:color w:val="auto"/>
        </w:rPr>
        <w:tab/>
      </w:r>
      <w:r>
        <w:rPr>
          <w:rFonts w:ascii="Times New Roman" w:cs="Times New Roman" w:eastAsia="Times New Roman" w:hAnsi="Times New Roman"/>
          <w:sz w:val="18"/>
          <w:szCs w:val="18"/>
          <w:color w:val="auto"/>
        </w:rPr>
        <w:t>By: /s/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7"/>
    </w:lvl>
  </w:abstractNum>
  <w:abstractNum w:abstractNumId="9">
    <w:nsid w:val="79838CB2"/>
    <w:multiLevelType w:val="hybridMultilevel"/>
    <w:lvl w:ilvl="0">
      <w:lvlJc w:val="left"/>
      <w:lvlText w:val="%1."/>
      <w:numFmt w:val="decimal"/>
      <w:start w:val="8"/>
    </w:lvl>
  </w:abstractNum>
  <w:abstractNum w:abstractNumId="10">
    <w:nsid w:val="4353D0CD"/>
    <w:multiLevelType w:val="hybridMultilevel"/>
    <w:lvl w:ilvl="0">
      <w:lvlJc w:val="left"/>
      <w:lvlText w:val="%1."/>
      <w:numFmt w:val="decimal"/>
      <w:start w:val="9"/>
    </w:lvl>
  </w:abstractNum>
  <w:abstractNum w:abstractNumId="11">
    <w:nsid w:val="B03E0C6"/>
    <w:multiLevelType w:val="hybridMultilevel"/>
    <w:lvl w:ilvl="0">
      <w:lvlJc w:val="left"/>
      <w:lvlText w:val="%1."/>
      <w:numFmt w:val="decimal"/>
      <w:start w:val="10"/>
    </w:lvl>
  </w:abstractNum>
  <w:abstractNum w:abstractNumId="12">
    <w:nsid w:val="189A769B"/>
    <w:multiLevelType w:val="hybridMultilevel"/>
    <w:lvl w:ilvl="0">
      <w:lvlJc w:val="left"/>
      <w:lvlText w:val="%1."/>
      <w:numFmt w:val="decimal"/>
      <w:start w:val="1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lvl w:ilvl="1">
      <w:lvlJc w:val="left"/>
      <w:lvlText w:val="(%2)"/>
      <w:numFmt w:val="lowerRoman"/>
      <w:start w:val="2"/>
    </w:lvl>
  </w:abstractNum>
  <w:abstractNum w:abstractNumId="37">
    <w:nsid w:val="5E884ADC"/>
    <w:multiLevelType w:val="hybridMultilevel"/>
    <w:lvl w:ilvl="0">
      <w:lvlJc w:val="left"/>
      <w:lvlText w:val="†"/>
      <w:numFmt w:val="bullet"/>
      <w:start w:val="1"/>
    </w:lvl>
    <w:lvl w:ilvl="1">
      <w:lvlJc w:val="left"/>
      <w:lvlText w:val="(%2)"/>
      <w:numFmt w:val="lowerRoman"/>
      <w:start w:val="2"/>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2019-12-29T18:35:09Z</dcterms:created>
  <dcterms:modified xsi:type="dcterms:W3CDTF">2019-12-29T18:35:09Z</dcterms:modified>
</cp:coreProperties>
</file>