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914d424b5.htm"/>
        <w:bookmarkStart w:id="1" w:name="ksd1791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333-293390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20,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82240" cy="7708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2240" cy="7708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$75,000,000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Open Market Sale AgreementSM (sales agreement) with Jefferies LLC (Jefferies), dated July 2, 2026, relating to the sale of shares of our common stock offered by this prospectus supplement and the accompanying prospectus. In accordance with the terms of the sales agreement, under this prospectus supplement, we may offer and sell shares of our common stock, $0.01 par value per share, having an aggregate offering price of up to $75,000,000 from time to time through Jefferies, acting as our sales agent.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“ENTA.” On July 1, 2026, the last reported sale price of our common stock on the Nasdaq Global Select Market was $14.77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shares of our common stock, if any, under this prospectus supplement and the accompanying prospectus will be made by any method permitted that is deemed to be an “at the market offering” as defined in Rule 415(a)(4) promulgated under the Securities Act of 1933, as amended, or the Securities Act. Jefferies is not required to sell any specific number or dollar amount of our common stock, but will act as our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be entitled under the terms of the sales agreement at a commission rate of up to 3.0% of the aggregate gross proceeds of any shares of common stock sold under the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S-14 of this prospectus supplement for additional information regarding the compensation to be paid to Jefferies. </w:t>
      </w:r>
    </w:p>
    <w:p>
      <w:pPr>
        <w:pStyle w:val="TextBody"/>
        <w:bidi w:val="0"/>
        <w:spacing w:before="240" w:after="0"/>
        <w:jc w:val="left"/>
        <w:rPr/>
      </w:pPr>
      <w:r>
        <w:rPr>
          <w:rFonts w:ascii="Times New Roman" w:hAnsi="Times New Roman"/>
          <w:b/>
          <w:sz w:val="24"/>
        </w:rPr>
        <w:t>Investing in our common stock involves risks. See “</w:t>
      </w:r>
      <w:hyperlink w:anchor="supprom17914_4">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page 2 of the accompanying prospectus and in the reports we file with the Securities and Exchange Commission pursuant to the Securities Exchange Act of 1934, as amended, incorporated by reference in this prospectus supplement, before making a decision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Securities and Exchange Commission and state securities regulators have not approved or disapproved of these securities, or determined if this prospectus supplement is truthful or complete.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July 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9">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10">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7914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6">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2">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7914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791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base prospectus are part of a “shelf” registration statement on Form S-3 that we filed with the U.S. Securities and Exchange Commission, or the SEC, using a “shelf” registration process.</w:t>
      </w:r>
    </w:p>
    <w:p>
      <w:pPr>
        <w:pStyle w:val="TextBody"/>
        <w:bidi w:val="0"/>
        <w:spacing w:before="240" w:after="0"/>
        <w:jc w:val="left"/>
        <w:rPr>
          <w:rFonts w:ascii="Times New Roman" w:hAnsi="Times New Roman"/>
          <w:sz w:val="20"/>
        </w:rPr>
      </w:pPr>
      <w:r>
        <w:rPr>
          <w:rFonts w:ascii="Times New Roman" w:hAnsi="Times New Roman"/>
          <w:sz w:val="20"/>
        </w:rPr>
        <w:t xml:space="preserve">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some of which may not apply to this offering. Generally, when we refer to this prospectus, we are referring to both the prospectus supplement and the accompanying prospectus. In this prospectus supplement, as permitted by law, we “incorporate by reference” information from other documents that we file with the SEC. This means that we can disclose important information to you from those documents which we may file with the SEC from time to time. The information incorporated by reference is considered to be a part of this prospectus supplement and the accompanying prospectus and should be read with the same care. </w:t>
      </w:r>
    </w:p>
    <w:p>
      <w:pPr>
        <w:pStyle w:val="TextBody"/>
        <w:bidi w:val="0"/>
        <w:spacing w:before="240" w:after="0"/>
        <w:jc w:val="left"/>
        <w:rPr>
          <w:rFonts w:ascii="Times New Roman" w:hAnsi="Times New Roman"/>
          <w:sz w:val="20"/>
        </w:rPr>
      </w:pPr>
      <w:r>
        <w:rPr>
          <w:rFonts w:ascii="Times New Roman" w:hAnsi="Times New Roman"/>
          <w:sz w:val="20"/>
        </w:rPr>
        <w:t xml:space="preserve">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common stock offered by this prospectus supplement. If the description of the offering varies between this prospectus supplement and the accompanying prospectus, you should rely on the information contained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prospectus. We have not, and Jefferies has not, authorized anyone to provide you with different information. If anyone provides you with different or inconsistent information, you should not rely on it. We are not, and Jefferies is not, making an offer of these securities in any state where the offer is not permitted or in which the person making such offer or solicitation is not qualified to do so or to any person to whom it is unlawful to make such offer or solicitation. You should not assume that the information in this prospectus supplement, the accompanying prospectus or any document incorporated by reference is accurate as of any date other than the dates of the respective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all references to “we,” “us,” “our,” “our company,” “the Company” or “Enanta” in this prospectus supplement refer collectively to Enanta Pharmaceuticals, Inc. and its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17914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This summary does not contain all of the information you should consider before investing in our common stock. You should read this entire prospectus supplement and the accompanying prospectus carefully, especially the section in this prospectus supplement titled “Risk Factors,” under the headings “Part I, Item 1A. Risk Factors” in our Annual Report on Form 10-K for the year ended September 30, 2025, “Part II, Item 1A. Risk Factors” in our subsequent Quarterly Reports on Form 10-Q, and in our other filings with the SEC and our financial statements and the related notes incorporated by reference into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biotechnology company that uses our robust, chemistry-driven approach and drug discovery capabilities to discover and develop small molecule drugs for virology and immunology indications.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Virology: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combination treatment for HCV, which has been marketed under the tradenames MAVYRET® (U.S.) and MAVIRET® (ex-U.S.) (glecaprevir/pibrentasvir) since 2017 for the treatment of chronic HCV. MAVYRET® was also approved as the first and only treatment for acute HCV infection in June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active development programs in virology are focused on respiratory syncytial virus, or RSV, the most common cause of bronchiolitis and pneumonia in young children and a significant cause of respiratory illness in older adults. Populations at high risk for severe RSV infection include infants and young children, adults older than 65 years of age, and those with comorbidities such as chronic heart or lung disease. We have two clinical stage product candidates for RSV – zelicapavir and EDP-323. Both candidates inhibit viral replication and the production of new virions. Zelicapavir, which has Fast Track designation from the U.S. Food and Drug Administration, or the FDA, is an inhibitor of the RSV N-protein for both major subgroups of RSV. In September 2025, we announced positive topline results from a Phase 2b randomized, double-blind, placebo-controlled study evaluating zelicapavir in high-risk adults with RSV, and in December 2024, we announced positive topline results from the first-in-pediatrics Phase 2 study evaluating zelicapavir in hospitalized and non-hospitalized children aged 28 days to 36 months with RSV. In these Phase 2 clinical studies, zelicapavir has demonstrated a favorable safety profile, consistent with that observed in over 700 subjects exposed to zelicapavir to date, as well as antiviral activity and reductions in symptom duration. We recently announced plans to initiate a registrational Phase 2b/3 clinical trial in adults at high risk of severe outcomes from RSV infection and a Phase 2b clinical trial of zelicapavir in pediatric patients with RSV, as discussed below. EDP-323, which also has a Fast Track designation from the FDA, is an inhibitor of the RSV L-protein for both major subgroups of RSV that has completed a Phase 2 challenge study. We believe EDP-323 has the potential to be used alone, or in combination with other RSV mechanisms such as an N-protein inhibitor like zelicapavir, to broaden the treatment window or addressable patient populations. In parallel, we are exploring potential business development opportunities related to our RSV programs.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have clinical-stage programs in virology for SARS-CoV-2, the virus that causes COVID-19, and Hepatitis B virus, or HBV, the most prevalent chronic hepatitis.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Immunology: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immunology, we are designing and developing highly potent and selective, oral small molecule inhibitors for the treatment of type 2 inflammatory disease by targeting key mechanisms of the immune response. An overactive immune response is a primary driver of a number of inflammatory diseases for which there is an enduring unmet need including atopic dermatitis, or AD, urticaria, asthma, prurigo nodularis, or PN, chronic rhinosinusitis with nasal polyps, or CRSwNP, as well as some forms of chronic obstructive pulmonary disease, or COPD, eosinophilic esophagitis, or EoE, allergic rhinoconjunctivitis, or ARC, and other conditions. Based on industry reports, by 2032 the market is projected to be approximately $40 billion for urticaria and AD, approximately $40 billion for the combined market of asthma, COPD, CRSwNP, EoE, ARC and PN and could include an additional approximately $40 billion or greater taking into account potential expansion into gastrointestinal and neurology indications thought to be associated with mast cells.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initial immunology targets involve the following mechanisms: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KIT, a receptor tyrosine kinase, critical for regulating mast cell survival and activation, including release of potent inflammatory mediators such as histamine, which is a primary driver of inflammation and implicated in multiple allergic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STAT6, a transcription factor uniquely responsible for interleukin-4, or IL-4, and interleukin-13, or IL-13, cell signaling, which drives a type 2 dominant phenotype and downstream inflammation;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MRGPRX2, a non-canonical G-Protein-Coupled-Receptor, or GPCR, expressed predominantly on mast cells, which upon activation triggers degranulation and release of inflammation mediating components, leading to an inflammatory response that is a driver in multiple allergic diseases.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mechanisms are implicated, along with others, in several diseases, and it is not uncommon for an efficacious treatment for one disease to be tested and approved for other immunology indications. In addition, these mechanisms are orthogonal approaches that may provide additive or complementary benefit if used in combination. We currently plan to focus our initial immunology drug development proof-of-concept efforts on the following disease indications: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Urticaria, including 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or chronic inducible urticaria (CIndU) of various forms with a variety of known triggers;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 clinical-stage program to develop oral KIT inhibitors for the treatment of CSU and potentially other mast cell-associated indications by depleting mast cells, thereby addressing a primary driver of these diseases. We have selected EDP-978 as our clinical candidate. EDP-978 demonstrates potent nanomolar activity in both binding and cellular function assays, sub-nanomolar activity </w:t>
      </w:r>
      <w:r>
        <w:rPr>
          <w:rFonts w:ascii="Times New Roman" w:hAnsi="Times New Roman"/>
          <w:i/>
          <w:sz w:val="20"/>
          <w:bdr w:val="single" w:sz="8" w:space="1" w:color="000000"/>
        </w:rPr>
        <w:t xml:space="preserve">in vivo, </w:t>
      </w:r>
      <w:r>
        <w:rPr>
          <w:rFonts w:ascii="Times New Roman" w:hAnsi="Times New Roman"/>
          <w:sz w:val="20"/>
          <w:bdr w:val="single" w:sz="8" w:space="1" w:color="000000"/>
        </w:rPr>
        <w:t xml:space="preserve">and high selectivity for KIT versus other kinases. EDP-978 also demonstrates strong </w:t>
      </w:r>
      <w:r>
        <w:rPr>
          <w:rFonts w:ascii="Times New Roman" w:hAnsi="Times New Roman"/>
          <w:i/>
          <w:sz w:val="20"/>
          <w:bdr w:val="single" w:sz="8" w:space="1" w:color="000000"/>
        </w:rPr>
        <w:t xml:space="preserve">in vitro </w:t>
      </w:r>
      <w:r>
        <w:rPr>
          <w:rFonts w:ascii="Times New Roman" w:hAnsi="Times New Roman"/>
          <w:sz w:val="20"/>
          <w:bdr w:val="single" w:sz="8" w:space="1" w:color="000000"/>
        </w:rPr>
        <w:t xml:space="preserve">and </w:t>
      </w:r>
      <w:r>
        <w:rPr>
          <w:rFonts w:ascii="Times New Roman" w:hAnsi="Times New Roman"/>
          <w:i/>
          <w:sz w:val="20"/>
          <w:bdr w:val="single" w:sz="8" w:space="1" w:color="000000"/>
        </w:rPr>
        <w:t xml:space="preserve">in vivo </w:t>
      </w:r>
      <w:r>
        <w:rPr>
          <w:rFonts w:ascii="Times New Roman" w:hAnsi="Times New Roman"/>
          <w:sz w:val="20"/>
          <w:bdr w:val="single" w:sz="8" w:space="1" w:color="000000"/>
        </w:rPr>
        <w:t xml:space="preserve">absorption, distribution, metabolism and excretion, or ADME, properties, supporting once-daily dosing. In April 2026, we dosed our first participant in a randomized, double-blind, placebo-controlled, first-in-human Phase 1 clinical trial. The trial is expected to enroll approximately 98 healthy adult volunteers, ranging in age from 18 to 65 years old, to evaluate the safety, tolerability, pharmacokinetics, and pharmacodynamics, including serum tryptase, of EDP-978. The trial includes a single ascending dose (SAD) phase, with a two-part food-effect cohort, and a multiple ascending dose (MAD) phase with a 14-day treatment period. We expect to report topline data from this trial in the fourth quarter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 preclinical stage program to develop oral inhibitors of the signal transducer and activator of transcription 6 transcription factor, known as STAT6, for the treatment of type 2 immune-driven diseases. STAT6 is responsible for IL-4/IL-13 signaling, the pathway targeted by dupilumab, an IL-4 and IL-13 monoclonal antibody marketed as DUPIXENT®. We are initially focusing on AD for a proof-of-concept clinical study, and subsequently other indications where dupilumab is approved or has shown clinical activity. EPS-3903 is our lead development candidate, which has demonstrated nanomolar potency in both binding and cellular assays and is highly selective for STAT6 versus other STATs. EPS-3903 results in a rapid, continuous and complete (&gt;90%) inhibition of phosphorylated STAT6 after oral dosing in mice. Importantly, EPS-3903 shows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efficacy comparable to dupilumab, or an anti-mouse IL-4/IL-13 antibody, in multiple disease models of asthma (ovalbumin, house dust mite) and AD (MC903). EPS-3903 displays favorable </w:t>
      </w:r>
      <w:r>
        <w:rPr>
          <w:rFonts w:ascii="Times New Roman" w:hAnsi="Times New Roman"/>
          <w:i/>
          <w:sz w:val="20"/>
          <w:bdr w:val="single" w:sz="8" w:space="1" w:color="000000"/>
        </w:rPr>
        <w:t xml:space="preserve">in vitro </w:t>
      </w:r>
      <w:r>
        <w:rPr>
          <w:rFonts w:ascii="Times New Roman" w:hAnsi="Times New Roman"/>
          <w:sz w:val="20"/>
          <w:bdr w:val="single" w:sz="8" w:space="1" w:color="000000"/>
        </w:rPr>
        <w:t xml:space="preserve">and </w:t>
      </w:r>
      <w:r>
        <w:rPr>
          <w:rFonts w:ascii="Times New Roman" w:hAnsi="Times New Roman"/>
          <w:i/>
          <w:sz w:val="20"/>
          <w:bdr w:val="single" w:sz="8" w:space="1" w:color="000000"/>
        </w:rPr>
        <w:t xml:space="preserve">in vivo </w:t>
      </w:r>
      <w:r>
        <w:rPr>
          <w:rFonts w:ascii="Times New Roman" w:hAnsi="Times New Roman"/>
          <w:sz w:val="20"/>
          <w:bdr w:val="single" w:sz="8" w:space="1" w:color="000000"/>
        </w:rPr>
        <w:t xml:space="preserve">ADME properties, supportive of once-daily dosing potential. We are currently performing scale-up and Investigational New Drug application, or IND, enabling activities and are on track to file an IND in the second half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2026, we announced a preclinical program targeting MRGPRX2, a GPCR expressed predominantly on mast cells, for the treatment of type 2 immune driven diseases. MRGPRX2 inhibitors act through non-depleting mast cell modulation, including IgE-independent pathways, and may have the potential to address multiple chronic inflammatory diseases, including atopic dermatitis, asthma, prurigo nodularis and others, with strong efficacy and a best-in-disease safety profile as well as potential in migraine. Currently, our prototype inhibitors demonstrate MRGPRX2 inhibition with nanomolar potency (EC50 of 1-2nM) in cellular assays and prevent skin mast cell activation in humanized MRGPRX2 mouse models. Further, our prototype inhibitors show potent activity across multiple MRGPRX2 agonists, with high selectivity for MRGPRX2 versus other GPCRs. These prototypes also demonstrate favorable </w:t>
      </w:r>
      <w:r>
        <w:rPr>
          <w:rFonts w:ascii="Times New Roman" w:hAnsi="Times New Roman"/>
          <w:i/>
          <w:sz w:val="20"/>
          <w:bdr w:val="single" w:sz="8" w:space="1" w:color="000000"/>
        </w:rPr>
        <w:t xml:space="preserve">in vitro </w:t>
      </w:r>
      <w:r>
        <w:rPr>
          <w:rFonts w:ascii="Times New Roman" w:hAnsi="Times New Roman"/>
          <w:sz w:val="20"/>
          <w:bdr w:val="single" w:sz="8" w:space="1" w:color="000000"/>
        </w:rPr>
        <w:t xml:space="preserve">and </w:t>
      </w:r>
      <w:r>
        <w:rPr>
          <w:rFonts w:ascii="Times New Roman" w:hAnsi="Times New Roman"/>
          <w:i/>
          <w:sz w:val="20"/>
          <w:bdr w:val="single" w:sz="8" w:space="1" w:color="000000"/>
        </w:rPr>
        <w:t xml:space="preserve">in vivo </w:t>
      </w:r>
      <w:r>
        <w:rPr>
          <w:rFonts w:ascii="Times New Roman" w:hAnsi="Times New Roman"/>
          <w:sz w:val="20"/>
          <w:bdr w:val="single" w:sz="8" w:space="1" w:color="000000"/>
        </w:rPr>
        <w:t xml:space="preserve">ADME properties, supportive of once-daily dosing potential. We are continuing to evaluate multiple compounds in preclinical studies and expect to select a development candidate in the second half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Advancement of Zelicapavir Clinical Development Program for the Treatment of RSV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18, 2026, Enanta announced the advancement of its zelicapavir clinical development program for the treatment of RSV, following a successful End-of-Phase 2 meeting with the FDA. Enanta also announced plans to initiate a Phase 2b clinical trial of zelicapavir in pediatric patients with RSV. The Company estimates a global market opportunity of over $2 billion for an oral RSV antiviral for children and all high-risk adults, with a potential total addressable population of greater than 3 million patients in the United States. Estimates indicate that RSV leads to up to 6.8 million outpatient visits, approximately 370,000 hospitalizations, and up to 24,000 deaths in the United States annually. Additionally, the Company believes that the recent FDA approval of combination self-tests capable of detecting RSV, influenza and COVID-19 may further expand the addressable patient population by increasing RSV diagnosis rates and enabling a test-to-treat model for zelicapavir.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2b/3 randomized, double-blind, placebo-controlled, multicenter global trial will evaluate the efficacy and safety of zelicapavir in adult outpatients who test positive for RSV and have had respiratory tract infection symptoms for no more than 3 days. Patients will have at least one of the following risk factors: 75 years of age or older, COPD, or congestive heart failure (CHF) (together, the “HR3 population”). These risk factors are the same as the HR3 population in the Company’s previous Phase 2 RSVHR trial where a one-week reduction in time to complete resolution of symptoms and a reduction in hospitalization was observed. Patients will receive an oral dose of 800mg of zelicapavir or placebo once daily for 7 days and be evaluated for 28 days thereafter. The primary endpoint is the time to complete resolution of all 13 RSV symptoms as measured by the Company’s RiiQ tool. A key secondary endpoint will evaluate hospitalization rate, with other secondary endpoints of additional clinical efficacy measures, antiviral activity and safety of zelicapavir. The primary analysis set is the modified intent to treat population of unvaccinated patients; vaccinated patients will be capped at 10% of enrolled patients and will be included in a separate supportive intent to treat analysis. The Phase 2b portion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study will include a minimum of 200 patients and is designed to confirm the primary endpoint and treatment effect size in the targeted population with the optimized dosing duration and will further support the Phase 3 portion of approximately 660 patients. The Company expects to initiate this study in the fourth quarter of 2026, with data from the Phase 2b portion targeted for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2b, double-blind, placebo-controlled, multicenter trial in pediatric patients is designed to evaluate the efficacy and safety of zelicapavir in hospitalized and non-hospitalized children with up to 72 hours of respiratory tract infection symptoms who test positive for RSV. Approximately 150 participants, from 28 days to 36 months of age, will receive 5mg/kg (for participants less than 12 months old) or 7.5 mg/kg (for participants 12 months of age or older) of zelicapavir or placebo once daily for 7 days and be evaluated for 28 days thereafter. The primary endpoint is the time to complete resolution of clinical signs of RSV as measured by the RESOLVE-P clinical scoring scale. Secondary endpoints will evaluate additional clinical efficacy measures, antiviral activity, and safety of zelicapavir. The trial is being conducted in Thailand in collaboration with the Penta Foundation and the AMS PHPT Research Unit at Chiang Mai University. The Company expects to initiate this Phase 2b study in the third quarter of 2026 with topline data targeted for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Delaware corporation, incorporated in 1995. Our principal executive offices are located at 4 Kingsbury Avenue, Watertown, Massachusetts 02472, and our telephone number is (617) 607-0800. Our web site address is www.enanta.com. The information contained in, and that can be accessed through, our website is not incorporated into and does not form a part of this prospectus supplement or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or the Exchange Act. As a smaller reporting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(March 31st), or our annual revenue is less than $100.0 million during the most recently completed fiscal year and our voting and non-voting common stock held by non-affiliates is less than $700.0 million measured on the last business day of our second fiscal quarter (March 31st).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7914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Shares of our common stock having an aggregate offering price of up to $75.0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w:t>
              <w:br/>
              <w:t>after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Up to 34,139,012 shares (as more fully described in the notes following this table), assuming sales of 5,077,860 shares of our common stock in this offering at an offering price of $14.77 per share, which was the last reported sale price of our common shares on the Nasdaq Global Select Market on July 1,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At the market offering” that may be made from time to time through our sales agent, Jefferies. See “Plan of Distribution” on page S-14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short-term and long-term investments to fund our clinical trials, research, and development efforts, as well as for working capital and other general corporate purposes. See “Use of Proceeds” on page S-11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Investing in our common stock involves significant risks. Before making an investment decision, please read the information contained in and incorporated by reference under the heading “Risk Factors” beginning on page S-7 of this prospectus supplement, and under similar headings in other documents that are incorporated by reference into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The Nasdaq Global Select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w:t>
            </w:r>
            <w:r>
              <w:rPr/>
              <w:t xml:space="preserve">ENTA”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above discussion and table are based on 29,061,152 shares of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6,740,178 shares of common stock issuable upon the exercise of options outstanding under our 2019 Equity Incentive Plan, or 2019 Plan, our 2012 Equity Incentive Plan and our 2024 Inducement Stock Incentive Plan, or Inducement Plan, as of March 31, 2026, with a weighted-average exercise price of $32.21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627,055 shares of common stock issuable upon vesting and settlement of restricted stock units, performance share units and relative total stockholder return units outstanding under our equity incentive plans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1,988,454 shares of common stock reserved for future issuance under our 2019 Plan as of March 31, 2026;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344,507 shares of common stock reserved for future issuance under our Inducement Plan as of March 31,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reflects or assumes no exercise or forfeiture of any outstanding options or settlement of restricted stock units, performance share units and relative total stockholder return units since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791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most recent Annual Report on Form 10-K, as may be updated by our subsequent Quarterly Reports on Form 10-Q and other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“Cautionary Note Regarding Forward-Looking Statements.” Additional risks not known to us or that we believe are immaterial may also significantly impair our business operations and could result in a loss of all or part of your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We cannot specify with certainty the particular uses of the net proceeds we will receive from this offering. Our management will have broad discretion in the application of the net proceeds. We currently intend to use the net proceeds from this offering, if any, together with our existing cash, cash equivalents and short-term and long-term investments, to fund our clinical trials, research, and development efforts, as well as for working capital and other general corporate purposes.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may experience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Assuming that an aggregate of 5,077,860 shares of our common stock are sold at a price of $14.77 per share, the last reported sale price of our common stock on the Nasdaq Global Select Market on July 1, 2026, for aggregate gross proceeds of $75.0 million, and after deducting 3.0% in commissions as well as estimated offering expenses payable by us, you would experience immediate dilution of $9.23 per share, representing the difference between our as-adjusted net tangible book value per share as of March 31, 2026 after giving effect to this offering and the assumed public offering price. The exercise of outstanding stock options would result in further dilution of your investment.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Future issuances of our common stock or our other equity securities could further depress the market for our common stock. We expect to continue to incur commercialization, drug development and selling, general and administrative costs, and to satisfy our funding requirements, we may need to sell additional equity securities. The sale or the proposed sale of substantial amounts of our common stock or our other equity securities may adversely affect the market price of our common stock and our stock price may decline substantially. We may sell shares or other securities in any other offering at a price per share that is less than the price per share paid by investors in this offering. Our stockholders may experience substantial dilution and a reduction in the price that they are able to obtain upon sale of their shares. New equity securities issued may have greater rights, preferences or privileges than our existing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actual number of shares we will sell under the sales agreement, or the gross proceeds resulting from those sales.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instruction to Jefferies to sell shares of our common stock at any time throughout the term of the sales agreement. The number of shares, if any, that are sold through Jefferies after our instruction will fluctuate based on a number of factors, including the market price of our common stock during the sales period, the limits we set with Jefferies in any instruction to sell shares, and the demand for our common stock during the sales period. Because the price per share of each share sold, if any, will fluctuate during this offering, it is not currently possible to predict the number of shares that will be sold or the gross proceeds to be raised in connection with those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7914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into this prospectus supplement and the accompanying prospectus, include “forward-looking statements” within the meaning of Section 27A of the Securities Act, and Section 21E of the Exchange Act. All statements, other than statements of historical facts, contained or incorporated by reference in this prospectus supplement and the accompanying prospectus, including statements regarding our business, operations and financial performance and condition, as well as our plans, objectives and expectations for our business operations and financial performance and condition, as well as assumptions relating to the foregoing, are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including the status and timing of our current and planned clinical trials, the efficacy and safety profile of our product candidates, our ability to maintain and recognize the benefits of certain designations received by product candidates, liquidity and capital needs and other statements of expectations, beliefs, future plans and strategies, anticipated use of proceeds from this offering, estimates of our cash, cash equivalents and marketable securities as of March 31, 2026, our beliefs about the length of time over which our capital resources will be sufficient to meet our anticipated cash requirements,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prospectus supplement, the accompanying prospectus and the information incorporated by reference in this prospectus supplement and the accompanying prospectus may turn out to be inaccurate.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cause actual results to differ materially from current expectations include, among other things, those listed under the “Risk Factors” section of this prospectus supplement, the accompanying prospectus, any related free writing prospectus, our most recent Annual Report on Form 10-K, any subsequent Quarterly Reports on Form 10-Q and any Current Reports on Form 8-K filed subsequent to the end of the year covered by such annual report. Moreover, we operate in a very competitive and rapidly changing environment. New risks emerge from time to time. You should not rely upon forward-looking statements as predictions of future events. Our forward-looking statements do not reflect the potential impact of any future acquisitions, mergers, dispositions, joint ventures or investments that we may make. Except as required by law, we assume no obligation to update or revise these forward-looking statements for any reason, even if new information becomes available in the future. In that respect, we wish to caution readers not to place undue reliance on any such forward-looking statements, which speak only as of the date they are made. You should read this prospectus supplement, the accompanying prospectus, the documents that we reference in the prospectus supplement and the accompanying prospectus and the documents that we have filed as exhibits to the registration statement of which this prospectus supplement and the accompanying prospectus are a part completely and with the understanding that our actual future results may be materially different from what we expect.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into this prospectus supplement and the accompanying prospectus also contain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7914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$75.0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the sale of shares of our common stock in this offering, together with our existing cash, cash equivalents and short-term and long-term investments, to fund our clinical trials, research, and development efforts, as well as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we cannot predict with certainty all of the particular uses for the net proceeds from this offering or the amounts that we will actually spend on the uses set forth above. As a result, our management will have broad discretion regarding the timing and application of the net proceeds from this offering. Pending their use, we intend to invest the net proceeds of this offering in cash items, certificates of deposit or direct or guaranteed obligations of the United States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7914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March 31, 2026 was approximately $116.6 million, or $4.01 per share. Net tangible book value is total assets minus the sum of liabilities and intangible assets. Net tangible book value per share is net tangible book value divided by the total number of shares of common stock outstanding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up to 5,077,860 shares of our common stock in this offering at an assumed public offering price of $14.77 per share, the last reported sale price of our common stock on The Nasdaq Global Select Market on July 1, 2026, and after deducting 3.0% in commissions as well as estimated offering expenses payable by us, our as-adjusted net tangible book value as of March 31, 2026 would have been approximately $189.1 million, or $5.54 per share. This represents an immediate increase in net tangible book value of $1.53 per share to existing stockholders and immediate dilution of $9.23 per share to investors purchasing our common stock in this offering at the assumed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The as-adjusted information is illustrative only and will change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$75.0 million is sold at the assumed public offering price of $14.77 per share, the last reported sale price of our common stock on The Nasdaq Global Select Market on July 1, 2026. The shares sold in this offering, if any, will be sold from time to time at various prices.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1"/>
        <w:gridCol w:w="384"/>
        <w:gridCol w:w="145"/>
        <w:gridCol w:w="448"/>
        <w:gridCol w:w="60"/>
        <w:gridCol w:w="384"/>
        <w:gridCol w:w="145"/>
        <w:gridCol w:w="582"/>
        <w:gridCol w:w="66"/>
      </w:tblGrid>
      <w:tr>
        <w:trPr/>
        <w:tc>
          <w:tcPr>
            <w:tcW w:w="554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14.77</w:t>
            </w:r>
          </w:p>
        </w:tc>
        <w:tc>
          <w:tcPr>
            <w:tcW w:w="66" w:type="dxa"/>
            <w:tcBorders/>
            <w:shd w:fill="CCEEFF" w:val="clear"/>
            <w:vAlign w:val="bottom"/>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4.01</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As-adjusted net tangible book value per share as of March 31, 2026, after giving effect to this offering</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5.54</w:t>
            </w:r>
          </w:p>
        </w:tc>
        <w:tc>
          <w:tcPr>
            <w:tcW w:w="66" w:type="dxa"/>
            <w:tcBorders/>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our common stock in this offering</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9.23</w:t>
            </w:r>
          </w:p>
        </w:tc>
        <w:tc>
          <w:tcPr>
            <w:tcW w:w="66"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increase of $1.00 per share in the price at which the shares are sold from the assumed public offering price of $14.77 per share shown in the table above, assuming all of our common stock in the aggregate amount of $75.0 million during the term of the sales agreement with Jefferies is sold at that price, would increase our as-adjusted net tangible book value per share to $5.59 per share and would increase the dilution in net tangible book value per share to new investors in this offering to $10.18 per share, after deducting 3.0% in commissions as well as estimated offering expenses payable by us. A decrease of $1.00 per share in the price at which the shares are sold from the assumed public offering price of $14.77 per share shown in the table above, assuming all of our common stock in the aggregate amount of $75.0 million during the term of the sales agreement with Jefferies is sold at that price, would decrease our as-adjusted net tangible book value per share to $5.48 per share and would decrease the dilution in net tangible book value per share to new investors in this offering to $8.29 per share, after deducting 3.0% in commissions as well as estimated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29,061,152 shares of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6,740,178 shares of common stock issuable upon the exercise of options outstanding under our 2019 Equity Incentive Plan, or 2019 Plan, our 2012 Equity Incentive Plan and our 2024 Inducement Stock Incentive Plan, or Inducement Plan, as of March 31, 2026, with a weighted-average exercise price of $32.21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627,055 shares of common stock issuable upon vesting and settlement of restricted stock units, performance share units and relative total stockholder return units outstanding under our equity incentive plans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1,988,454 shares of common stock reserved for future issuance under our 2019 Plan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344,507 shares of common stock reserved for future issuance under our Inducement Plan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7914_8"/>
      <w:bookmarkEnd w:id="10"/>
      <w:r>
        <w:rPr>
          <w:rFonts w:ascii="Times New Roman" w:hAnsi="Times New Roman"/>
          <w:b/>
          <w:sz w:val="20"/>
        </w:rPr>
        <w:t>PLAN OF DISTRIBUTION</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under which we may offer and sell our shares of common stock from time to time through Jefferies acting as agent. Pursuant to this prospectus supplement, we may offer and sell up to $75,000,000 of our shares of common stock. Sales of our shares of common stock, if any, under this prospectus supplement and the accompanying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$250,000.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upon the termination of the sales agreement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will be filed as an exhibit to a current report on Form 8-K filed under the Exchange Act and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and the accompanying prospectus in electronic format may be made available on a website maintained by Jefferies, and Jefferies may distribute the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7914_9"/>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www.enanta.com. Our website is not a part of this prospectus supplement and the accompanying prospectus and is not incorporated by reference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we filed with the SEC and omit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or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12" w:name="supprom17914_10"/>
      <w:bookmarkEnd w:id="12"/>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This means that we can disclose important information to you by referring you to another document filed separately with the SEC. The information that we incorporate by reference in this prospectus supplement is considered to be part of this prospectus supplement. Because we are incorporating by reference future filings with the SEC, this prospectus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001-35839) and any future filings we make with the SEC under Sections 13(a), 13(c), 14 or 15(d) of the Exchange Act (other than documents or information deemed to have been furnished and not filed in accordance with SEC rules)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September 30, 2025, filed with the SEC on </w:t>
            </w:r>
            <w:hyperlink r:id="rId3">
              <w:r>
                <w:rPr>
                  <w:rStyle w:val="InternetLink"/>
                  <w:rFonts w:ascii="Times New Roman" w:hAnsi="Times New Roman"/>
                  <w:sz w:val="20"/>
                </w:rPr>
                <w:t>November 19, 2025</w:t>
              </w:r>
            </w:hyperlink>
            <w:r>
              <w:rPr>
                <w:rFonts w:ascii="Times New Roman" w:hAnsi="Times New Roman"/>
                <w:sz w:val="20"/>
              </w:rPr>
              <w:t xml:space="preserve">, and the portions of our Definitive Proxy Statement on Schedule 14A filed with the SEC on </w:t>
            </w:r>
            <w:hyperlink r:id="rId4">
              <w:r>
                <w:rPr>
                  <w:rStyle w:val="InternetLink"/>
                  <w:rFonts w:ascii="Times New Roman" w:hAnsi="Times New Roman"/>
                  <w:sz w:val="20"/>
                </w:rPr>
                <w:t>January 26, 2026</w:t>
              </w:r>
            </w:hyperlink>
            <w:r>
              <w:rPr>
                <w:rFonts w:ascii="Times New Roman" w:hAnsi="Times New Roman"/>
                <w:sz w:val="20"/>
              </w:rPr>
              <w:t xml:space="preserve"> and incorporated by reference in our Annual Report on Form 10-K for the fiscal year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December 31, 2025 and March 31, 2026, filed with the SEC on </w:t>
            </w:r>
            <w:hyperlink r:id="rId5">
              <w:r>
                <w:rPr>
                  <w:rStyle w:val="InternetLink"/>
                  <w:rFonts w:ascii="Times New Roman" w:hAnsi="Times New Roman"/>
                  <w:sz w:val="20"/>
                </w:rPr>
                <w:t>February  11, 2026</w:t>
              </w:r>
            </w:hyperlink>
            <w:r>
              <w:rPr>
                <w:rFonts w:ascii="Times New Roman" w:hAnsi="Times New Roman"/>
                <w:sz w:val="20"/>
              </w:rPr>
              <w:t xml:space="preserve"> and </w:t>
            </w:r>
            <w:hyperlink r:id="rId6">
              <w:r>
                <w:rPr>
                  <w:rStyle w:val="InternetLink"/>
                  <w:rFonts w:ascii="Times New Roman" w:hAnsi="Times New Roman"/>
                  <w:sz w:val="20"/>
                </w:rPr>
                <w:t>May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7">
              <w:r>
                <w:rPr>
                  <w:rStyle w:val="InternetLink"/>
                  <w:rFonts w:ascii="Times New Roman" w:hAnsi="Times New Roman"/>
                  <w:sz w:val="20"/>
                </w:rPr>
                <w:t>October  1, 2025</w:t>
              </w:r>
            </w:hyperlink>
            <w:r>
              <w:rPr>
                <w:rFonts w:ascii="Times New Roman" w:hAnsi="Times New Roman"/>
                <w:sz w:val="20"/>
              </w:rPr>
              <w:t xml:space="preserve">, </w:t>
            </w:r>
            <w:hyperlink r:id="rId8">
              <w:r>
                <w:rPr>
                  <w:rStyle w:val="InternetLink"/>
                  <w:rFonts w:ascii="Times New Roman" w:hAnsi="Times New Roman"/>
                  <w:sz w:val="20"/>
                </w:rPr>
                <w:t>March  12, 2026</w:t>
              </w:r>
            </w:hyperlink>
            <w:r>
              <w:rPr>
                <w:rFonts w:ascii="Times New Roman" w:hAnsi="Times New Roman"/>
                <w:sz w:val="20"/>
              </w:rPr>
              <w:t xml:space="preserve">, </w:t>
            </w:r>
            <w:hyperlink r:id="rId9">
              <w:r>
                <w:rPr>
                  <w:rStyle w:val="InternetLink"/>
                  <w:rFonts w:ascii="Times New Roman" w:hAnsi="Times New Roman"/>
                  <w:sz w:val="20"/>
                </w:rPr>
                <w:t>March  26, 2026</w:t>
              </w:r>
            </w:hyperlink>
            <w:r>
              <w:rPr>
                <w:rFonts w:ascii="Times New Roman" w:hAnsi="Times New Roman"/>
                <w:sz w:val="20"/>
              </w:rPr>
              <w:t xml:space="preserve"> and </w:t>
            </w:r>
            <w:hyperlink r:id="rId10">
              <w:r>
                <w:rPr>
                  <w:rStyle w:val="InternetLink"/>
                  <w:rFonts w:ascii="Times New Roman" w:hAnsi="Times New Roman"/>
                  <w:sz w:val="20"/>
                </w:rPr>
                <w:t>June 23, 2026</w:t>
              </w:r>
            </w:hyperlink>
            <w:r>
              <w:rPr>
                <w:rFonts w:ascii="Times New Roman" w:hAnsi="Times New Roman"/>
                <w:sz w:val="20"/>
              </w:rPr>
              <w:t xml:space="preserv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11">
              <w:r>
                <w:rPr>
                  <w:rStyle w:val="InternetLink"/>
                  <w:rFonts w:ascii="Times New Roman" w:hAnsi="Times New Roman"/>
                  <w:sz w:val="20"/>
                </w:rPr>
                <w:t>March 18, 2013</w:t>
              </w:r>
            </w:hyperlink>
            <w:r>
              <w:rPr>
                <w:rFonts w:ascii="Times New Roman" w:hAnsi="Times New Roman"/>
                <w:sz w:val="20"/>
              </w:rPr>
              <w:t xml:space="preserve">, including any amendment or report filed for the purpose of updating such description, including </w:t>
            </w:r>
            <w:hyperlink r:id="rId12">
              <w:r>
                <w:rPr>
                  <w:rStyle w:val="InternetLink"/>
                  <w:rFonts w:ascii="Times New Roman" w:hAnsi="Times New Roman"/>
                  <w:sz w:val="20"/>
                </w:rPr>
                <w:t>Exhibit 4.3</w:t>
              </w:r>
            </w:hyperlink>
            <w:r>
              <w:rPr>
                <w:rFonts w:ascii="Times New Roman" w:hAnsi="Times New Roman"/>
                <w:sz w:val="20"/>
              </w:rPr>
              <w:t xml:space="preserve"> to our Annual Report on Form 10-K for the year ended September 30, 2019.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oral or written request and at no cost to the requester, we will provide to each person, including any beneficial owner, to whom this prospectus supplement and accompanying prospectus is delivered, a copy of any or all of the information that has been incorporated by reference in this prospectus supplement and accompanying prospectus but not delivered with this prospectus supplement and accompanying prospectus. You may obtain copies of these documents, at no cost to you, from our website (www.enanta.com), or by writing or telephoning us at the following address: Enanta Pharmaceuticals, Inc., 4 Kingsbury Avenue, Watertown, Massachusetts 02472, (617) 607-0800. As noted above, our website is not a part of this prospectus supplement and accompanying prospectus and is not incorporated by reference in this prospectus supplement and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7914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supplement will be passed upon for us by Foley Hoag LLP of Boston, Massachusetts. Jefferies LLC is being represented in connection with this offering by Cooley LLP, New York, New York. </w:t>
      </w:r>
    </w:p>
    <w:p>
      <w:pPr>
        <w:pStyle w:val="TextBody"/>
        <w:bidi w:val="0"/>
        <w:spacing w:before="480" w:after="0"/>
        <w:jc w:val="center"/>
        <w:rPr>
          <w:rFonts w:ascii="Times New Roman" w:hAnsi="Times New Roman"/>
          <w:b/>
          <w:sz w:val="20"/>
        </w:rPr>
      </w:pPr>
      <w:bookmarkStart w:id="14" w:name="supprom17914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September 30,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682875" cy="763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682875" cy="7639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$150,000,000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$150,000,000 in the aggregate from time to time, in one or more series or issuances and on terms determined at the time of the offering,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of these securities. The specific terms of the securities to be offered and other information as to the terms and matters related to a specific offering will be described in one or more prospectus supplements to this prospectus. The prospectus supplements may also add to, update or change the information contained in this prospectus. This prospectus may not be used to offer or sell any securities unless accompanied by a prospectus supplement. You should read carefully both this prospectus and any prospectus supplement before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on an immediate, continuous or delayed basis directly to investors or through underwriters, dealers or agents, or through a combination of these methods at prices and on terms determined at the time of offering.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Enanta Pharmaceuticals, Inc. is listed on The Nasdaq Global Select Market under the symbol “ENTA.”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w:t>
      </w:r>
      <w:hyperlink w:anchor="tx17914_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on page 2 of this prospectus as well as those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6">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2">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7914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791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price of up to $150,000,000.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we may offer. Each time we sell securities, we will provide a prospectus supplement containing specific information about the terms of the securities being offered. That prospectus supplement may include a discussion of any risk factors or other special considerations that apply to those securities. The prospectus supplement may also add to, update or change the information in this prospectus. If there is any inconsistency between the information in this prospectus and in a prospectus supplement, you should rely on the information in that prospectus supplement. You should read both this prospectus and any prospectus supplement together with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Our SEC registration statement containing this prospectus, including exhibits, provides additional information about us and the securities offered under this prospectus. The registration statement can be read at the SEC’s website, which is provided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acquiring securities, you should rely only on the information provided in this prospectus and in the related prospectus supplement, including any information incorporated by reference. No one is authorized to provide you with information different from that which is contained, or deemed to be contained, in the prospectus and related prospectus supplement. We take no responsibility for, and can provide no assurance as to the reliability of, any other information that others may give you.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We are not offering the securities in any state where the offer is prohibited. You should not assume that the information in this prospectus, any prospectus supplement or any document incorporated by reference is truthful or complete as of any date other than the date indicated on the cover page of the relevant document.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all references to “we,” “us,” “our,” “our company,” “the Company” or “Enanta” in this prospectus refer collectively to Enanta Pharmaceuticals,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7914_2"/>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Investment in any securities offered pursuant to this prospectus, any related prospectus supplement or any related free writing prospectus involves risks. You should carefully consider the risk factors incorporated by reference to our most recent Annual Report on Form 10-K, any subsequent Quarterly Reports on Form 10-Q and any Current Reports on Form 8-K filed subsequent to the end of the year covered by such annual report, together with any amendments or supplements thereto, and all other information contained or incorporated by reference into this prospectus, as updated by our subsequent filings under the Securities Exchange Act of 1934, as amended, or the Exchange Act, and the risk factors (if any) and other information contained in any applicable prospectus supplement or free writing prospectus, before acquiring any of such securities. The occurrence of any of these risks might cause you to lose all or part of your investment in the offered securities. Please also refer to the section below entitled “</w:t>
      </w:r>
      <w:r>
        <w:rPr>
          <w:rFonts w:ascii="Times New Roman" w:hAnsi="Times New Roman"/>
          <w:i/>
          <w:sz w:val="20"/>
        </w:rPr>
        <w:t>Cautionary Note Regarding Forward-Looking Statements</w:t>
      </w:r>
      <w:r>
        <w:rPr>
          <w:rFonts w:ascii="Times New Roman" w:hAnsi="Times New Roman"/>
          <w:sz w:val="20"/>
        </w:rPr>
        <w:t xml:space="preserve">.” Additional risks not known to us or that we believe are immaterial may also significantly impair our business operations and could result in a loss of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x17914_3"/>
      <w:bookmarkEnd w:id="1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summary highlights some information from this prospectus. It is not complete and does not contain all of the information that you should consider before making an investment decision. You should read this entire prospectus, including the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section on page 1 and the disclosures to which that section refers you, the financial statements and related notes and the other more detailed information appearing elsewhere or incorporated by reference into this prospectus before investing in any of the securities described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biotechnology company that uses our robust, chemistry-driven approach and drug discovery capabilities to discover and develop small molecule drugs for virology and immunology indications.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Virology: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 (U.S.) and MAVIRET® (ex-U.S.) (glecaprevir/pibrentasvir) since 2017 for the treatment of chronic HCV. MAVYRET® was also approved as the first and only treatment for acute HCV infection in June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active development programs in virology are focused on respiratory syncytial virus, or RSV, the most common cause of bronchiolitis and pneumonia and a leading cause of U.S. hospitalization in young children, and a significant cause of respiratory illness in older adults. Populations at high risk for severe RSV infection include infants and young children, adults older than 65 years of age, and those with comorbidities such as chronic heart or lung disease. Recent CDC estimates suggest a significant RSV burden in the U.S., with up to 6.5 million outpatient visits, 350,000 hospitalizations and 23,000 deaths annually.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have clinical-stage programs in virology for SARS-CoV-2, the virus that causes COVID-19, and Hepatitis B virus, or HBV, the most prevalent chronic hepatitis.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Immunology: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immunology, we are designing and developing highly potent and selective, oral small molecule inhibitors for the treatment of type 2 inflammatory disease by targeting key mechanisms of the immune response. An overactive response is a primary driver of a number of inflammatory diseases for which there is an enduring unmet need including atopic dermatitis, or AD, urticarias, asthma, prurigo nodularis, or PN, chronic rhinosinusitis with nasal polyps, or CRSwNP, as well as some forms of chronic obstructive pulmonary disease, or COPD, and other conditions. Based on industry reports, by 2030 the market is projected to be approximately $5 billion for urticaria, $30 billion for AD and $35 billion for the combined market of asthma, COPD, CRSwNP, and PN.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initial immunology targets involve the following mechanisms of immune response: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KIT, a receptor tyrosine kinase, critical for regulating mast cell survival and activation, including release of potent inflammatory mediators such as histamine, which is a primary driver of inflammation and implicated in multiple allergic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STAT6, a transcription factor uniquely responsible for interleukin-4, or IL-4, and interleukin-13, or IL-13, cell signaling, which drives a type 2 dominant phenotype and downstream inflammation;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MRGPRX2, a non-canonical G-Protein-Coupled-Receptor (GPCR) expressed predominantly on mast cells, which upon activation triggers degranulation and release of inflammation mediating components, leading to an inflammatory response that is a driver in multiple allergic diseases.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mechanisms are implicated, along with others, in several diseases, and it is not uncommon for an efficacious treatment for one disease to be tested and approved for other immunology indications. In addition, these mechanisms are orthogonal approaches that may provide additive or complementary benefit if used in combination. We currently plan to focus our initial immunology drug development, proof-of-concept efforts on the following disease indications: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Urticaria, including 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or chronic inducible urticaria (CIndU) of various forms with a variety of known triggers;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Delaware corporation, incorporated in 1995. Our principal executive offices are located at 4 Kingsbury Avenue, Watertown, Massachusetts 02472, and our telephone number is (617) 607-0800. Our web site address is http://www.enanta.com. The information contained in, and that can be accessed through, our website is not incorporated into and does not form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7914_4"/>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www.enanta.com. Our website is not a part of this prospectus and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19" w:name="tx17914_5"/>
      <w:bookmarkEnd w:id="1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to you by referring you to another document filed separately with the SEC.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001-35839) and any future filings we make with the SEC under Sections 13(a), 13(c), 14 or 15(d) of the Exchange Act (other than documents or information deemed to have been furnished and not filed in accordance with SEC rules) on or after (1) the date of the initial registration statement and prior to the effectiveness of the registration statement and (2) the date of effectiveness of the registration statement but prior to the termination of the offering of the securities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September 30, 2025, filed with the SEC on </w:t>
            </w:r>
            <w:hyperlink r:id="rId14">
              <w:r>
                <w:rPr>
                  <w:rStyle w:val="InternetLink"/>
                  <w:rFonts w:ascii="Times New Roman" w:hAnsi="Times New Roman"/>
                  <w:sz w:val="20"/>
                </w:rPr>
                <w:t>November 19,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filed on </w:t>
            </w:r>
            <w:hyperlink r:id="rId15">
              <w:r>
                <w:rPr>
                  <w:rStyle w:val="InternetLink"/>
                  <w:rFonts w:ascii="Times New Roman" w:hAnsi="Times New Roman"/>
                  <w:sz w:val="20"/>
                </w:rPr>
                <w:t>January  26, 2026</w:t>
              </w:r>
            </w:hyperlink>
            <w:r>
              <w:rPr>
                <w:rFonts w:ascii="Times New Roman" w:hAnsi="Times New Roman"/>
                <w:sz w:val="20"/>
              </w:rPr>
              <w:t xml:space="preserve"> (excluding those portions that are not required to be incorporated by reference into our Annual Report on Form 10-K for the year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December 31, 2025, filed with the SEC on </w:t>
            </w:r>
            <w:hyperlink r:id="rId16">
              <w:r>
                <w:rPr>
                  <w:rStyle w:val="InternetLink"/>
                  <w:rFonts w:ascii="Times New Roman" w:hAnsi="Times New Roman"/>
                  <w:sz w:val="20"/>
                </w:rPr>
                <w:t>February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17">
              <w:r>
                <w:rPr>
                  <w:rStyle w:val="InternetLink"/>
                  <w:rFonts w:ascii="Times New Roman" w:hAnsi="Times New Roman"/>
                  <w:sz w:val="20"/>
                </w:rPr>
                <w:t>October 1,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18">
              <w:r>
                <w:rPr>
                  <w:rStyle w:val="InternetLink"/>
                  <w:rFonts w:ascii="Times New Roman" w:hAnsi="Times New Roman"/>
                  <w:sz w:val="20"/>
                </w:rPr>
                <w:t>March 18, 2013</w:t>
              </w:r>
            </w:hyperlink>
            <w:r>
              <w:rPr>
                <w:rFonts w:ascii="Times New Roman" w:hAnsi="Times New Roman"/>
                <w:sz w:val="20"/>
              </w:rPr>
              <w:t xml:space="preserve">, including any amendment or report filed for the purpose of updating such description, including </w:t>
            </w:r>
            <w:hyperlink r:id="rId19">
              <w:r>
                <w:rPr>
                  <w:rStyle w:val="InternetLink"/>
                  <w:rFonts w:ascii="Times New Roman" w:hAnsi="Times New Roman"/>
                  <w:sz w:val="20"/>
                </w:rPr>
                <w:t>Exhibit 4.3</w:t>
              </w:r>
            </w:hyperlink>
            <w:r>
              <w:rPr>
                <w:rFonts w:ascii="Times New Roman" w:hAnsi="Times New Roman"/>
                <w:sz w:val="20"/>
              </w:rPr>
              <w:t xml:space="preserve"> to our Annual Report on Form 10-K for the year ended September 30, 2019.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oral or written request and at no cost to the requester, we will provide to each person, including any beneficial owner, to whom a prospectus is delivered, a copy of any or all of the information that has been incorporated by reference in this prospectus but not delivered with this prospectus. You may obtain copies of these documents, at no cost to you, from our website (www.enanta.com), or by writing or telephoning us at the following address: Enanta Pharmaceuticals, Inc., 4 Kingsbury Avenue, Watertown, Massachusetts 02472, (617) 607-0800. As noted above, our website is not a part of this prospectus and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7914_6"/>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including statements regarding our business, operations and financial performance and condition, as well as our plans, objectives and expectations for our business operations and financial performance and condition, as well as assumptions relating to the foregoing, are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prospectus and the information incorporated by reference in this prospectus may turn out to be inaccurate. </w:t>
      </w:r>
    </w:p>
    <w:p>
      <w:pPr>
        <w:pStyle w:val="TextBody"/>
        <w:bidi w:val="0"/>
        <w:spacing w:before="240" w:after="0"/>
        <w:jc w:val="left"/>
        <w:rPr>
          <w:rFonts w:ascii="Times New Roman" w:hAnsi="Times New Roman"/>
          <w:sz w:val="20"/>
        </w:rPr>
      </w:pPr>
      <w:r>
        <w:rPr>
          <w:rFonts w:ascii="Times New Roman" w:hAnsi="Times New Roman"/>
          <w:sz w:val="20"/>
        </w:rPr>
        <w:t>Factors that may cause actual results to differ materially from current expectations include, among other things, those listed under “</w:t>
      </w:r>
      <w:r>
        <w:rPr>
          <w:rFonts w:ascii="Times New Roman" w:hAnsi="Times New Roman"/>
          <w:i/>
          <w:sz w:val="20"/>
        </w:rPr>
        <w:t>Risk Factors</w:t>
      </w:r>
      <w:r>
        <w:rPr>
          <w:rFonts w:ascii="Times New Roman" w:hAnsi="Times New Roman"/>
          <w:sz w:val="20"/>
        </w:rPr>
        <w:t xml:space="preserve">” section of this prospectus, any related prospectus supplement or any related free writing prospectus, our most recent annual report on Form 10-K, any subsequent quarterly reports on Form 10-Q and any current reports on Form 8-K filed subsequent to the end of the year covered by such annual report. Moreover, we operate in a very competitive and rapidly changing environment. New risks emerge from time to time. You should not rely upon forward-looking statements as predictions of future events. Our forward-looking statements do not reflect the potential impact of any future acquisitions, mergers, dispositions, joint ventures or investments that we may make. Except as required by law, we assume no obligation to update or revise these forward-looking statements for any reason, even if new information becomes available in the future. In that respect, we wish to caution readers not to place undue reliance on any such forward-looking statements, which speak only as of the date they are made. You should read this prospectus, the documents that we reference herein and the documents that we have filed as exhibits to the registration statement of which this prospectus is a part completely and with the understanding that our actual future results may be materially different from what we expect.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also contain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7914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we intend to use the net proceeds from the sale of the securities offered by this prospectus for general corporate purposes, which may include, but is not limited to, working capital, capital expenditures, commercialization and distribution expenditures, manufacturing expenditures, research and development expenditures, regulatory affairs expenditures, clinical trial expenditures, acquisitions of new technologies and investments, and the repayment, refinancing, redemption or repurchase of future indebtedness or capital stock. Additional information on the use of net proceeds from the sale of securities offered by this prospectus may be set forth in the prospectus supplement relating to that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7914_8"/>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our common stock and a summary of our preferred stock. You should refer to our Restated Certificate of Incorporation (the “Certificate of Incorporation”) and our Amended and Restated Bylaws (the “Bylaws”), each of which is filed as an exhibit to our most recently filed Annual Report on Form 10-K.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us to issue up to 100,000,000 shares of common stock, par value $0.01 per share, and 4,999,989 shares of preferred stock, par value $0.01 per share, of which 1,999,989 shares are designated Series 1 Nonconvertible Preferred Stock and 3,000,000 shares of preferred stock are undesignated. As of February 5, 2026, 29,019,344 shares of common stock, 1,930,585 shares of Series 1 Nonconvertible Preferred Stock and no other shares of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one vote for each share held of record on all matters submitted to a vote of the stockholders, and do not have cumulative voting rights. Subject to preferences that may be applicable to any then outstanding preferred stock, holders of common stock are entitled to receive dividends, if any, as and when declared by our board of directors. All outstanding shares of common stock are fully paid and nonassessable. 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including the Series 1 Nonconvertible Preferred Stock and any preferred stock which we may designate in the future.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b/>
          <w:i/>
          <w:sz w:val="20"/>
        </w:rPr>
        <w:t>Series 1 Nonconvertible Preferred Stock</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Series 1 Nonconvertible Preferred Stock was designed to provide a specified return to investors in a 2010 financing before we became a public company. In the event of any liquidation, dissolution or winding up of the affairs of the company, or a merger, a sale of shares representing majority voting power, or a sale of substantially all the assets of the company, referred to as a “Deemed Liquidation Event”, the Series 1 Nonconvertible Preferred Stock will have priority over the holders of common stock and any other series of stock that we may designate in the future, and shall be entitled to $1.00 per share to be paid first out of any assets of the company available for distribution. Holders of Series 1 Nonconvertible Preferred Stock are not entitled to receive notice of, to attend, or to vote at any meeting of the stockholders. In any case in which the General Corporation Law of the State of Delaware requires that holders of Series 1 Nonconvertible Preferred Stock be entitled to vote at any meeting of stockholders, such holders will be entitled to vote as a class, separately from any other class or series of capital stock and will be entitled to one vote per share. All outstanding shares of Series 1 Nonconvertible Preferred Stock are fully paid and nonassessable. With the approval of a majority of the outstanding shares of the Series 1 Nonconvertible Preferred Stock, we may call for redemption shares of Series 1 Nonconvertible Preferred Stock at a cash redemption price equal to $1.00 per share. Holders of Series 1 Nonconvertible Preferred Stock have no preemptive, conversion or subscription rights, and there are no sinking fund provisions applicable to the Series 1 Nonconvertible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Undesignated Preferred Stock</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our Certificate of Incorporation, our board of directors has the authority, without further action by the stockholders, to issue up to 3,000,000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Terms of any series of preferred stock will be described in the prospectus supplement relating to that series of preferred stock and in any related free writing prospectus that we may authorize to be distributed to purchasers. The terms of any series of preferred stock may differ from the terms described below. Certain terms of the preferred stock described below are incomplete.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establish the number of shares to be included in each such series and may fix the designations, preferences, powers and other rights of the shares of a series of preferred stock. Our board of directors could authorize the issuance of preferred stock with voting or conversion rights that could dilute the voting power or rights of the holders of common stock. The issuance of preferred stock, while providing flexibility in connection with possible acquisitions and other corporate purposes, could, among other things, have the effect of delaying, deferring or preventing a change in control of Enanta and might harm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make the determination to issue such shares based on its judgment as to our best interests and the best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we offer a specific class or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offered by this prospectus, when issued, will not have, or be subject to, any preemptive or similar rights. The preferred stock, when issued,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each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Certificate of Incorporation, our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Certificate of Incorporation and our Bylaws contain provisions that could make the following transactions more difficult: acquisition of us by means of a tender offer; acquisition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charter documents provide that a special meeting of stockholders may be called only by the chairman of our board of directors, our Chief Executive Officer, or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eliminates the right of stockholders to act by written consent without a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Staggered Board;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divide our board of directors into three classes with staggered three-year terms. In addition, a director may be removed only for cause and only by the affirmative vote of the holders of at least 66 2/3% of the votes that all our stockholders would be entitled to cast in an annual election of directors. Any vacancy on our board of directors, including a vacancy resulting from an enlargement of our board of directors, may be filled only by vote of a majority of our directors then in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Super-Majority Voting </w:t>
      </w:r>
    </w:p>
    <w:p>
      <w:pPr>
        <w:pStyle w:val="TextBody"/>
        <w:bidi w:val="0"/>
        <w:spacing w:before="120" w:after="0"/>
        <w:jc w:val="left"/>
        <w:rPr>
          <w:rFonts w:ascii="Times New Roman" w:hAnsi="Times New Roman"/>
          <w:sz w:val="20"/>
        </w:rPr>
      </w:pPr>
      <w:r>
        <w:rPr>
          <w:rFonts w:ascii="Times New Roman" w:hAnsi="Times New Roman"/>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66 2/3% of the votes that all our stockholders would be entitled to cast in an annual election of directors. In addition, the affirmative vote of the holders of at least 66 2/3% of the votes which all our stockholders would be entitled to cast in an election of directors is required to amend or repeal or to adopt any provisions inconsistent with any of the provisions of our Certificate of Incorporation described in this paragraph and under the heading “</w:t>
      </w:r>
      <w:r>
        <w:rPr>
          <w:rFonts w:ascii="Times New Roman" w:hAnsi="Times New Roman"/>
          <w:i/>
          <w:sz w:val="20"/>
        </w:rPr>
        <w:t>Staggered Board; Removal of Directors</w:t>
      </w:r>
      <w:r>
        <w:rPr>
          <w:rFonts w:ascii="Times New Roman" w:hAnsi="Times New Roman"/>
          <w:sz w:val="20"/>
        </w:rPr>
        <w:t xml:space="preserve">” above.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“ENTA.”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7914_9"/>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we include in any applicable prospectus supplement, information incorporated by reference or free writing prospectus, summarizes certain general terms and provisions of the debt securities that we may offer under this prospectus. When we offer any particular series of debt securities, a prospectus supplement, information incorporated by reference or any free writing prospectus, as applicable, will explain the terms of those debt securities, which may differ from and will modify or replace the terms described below. We urge you to read the applicable prospectus supplement, information incorporated by reference and any related free writing prospectus, as they will indicate the general terms and provisions that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information incorporated or free writing prospectus by reference,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of which this prospectus is a part, and you should read the indenture for provisions that may be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information incorporated or free writing prospectus by reference relating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and those securities may be in one or more series with the same or various maturities, at par, at a premium, or at a discount. With respect to any series of debt securities we offer, we will set forth in a prospectus supplement, information incorporated by reference or free writing prospectus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may have to redeem or purchase the debt securities pursuant to any sinking fund or analogous provisions or at the option of a holder or holders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whether the debt securities will be issued in the form of certificates issued in definitive form or as one or more global securities representing the entire issuance, as described under “</w:t>
            </w:r>
            <w:r>
              <w:rPr>
                <w:rFonts w:ascii="Times New Roman" w:hAnsi="Times New Roman"/>
                <w:i/>
                <w:sz w:val="20"/>
              </w:rPr>
              <w:t>Forms of Securities</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(if any)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related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regarding any special considerations applicable to any of these debt securities in the applicable prospectus supplement, information incorporated by reference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information incorporated by reference or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Global Securities </w:t>
      </w:r>
    </w:p>
    <w:p>
      <w:pPr>
        <w:pStyle w:val="TextBody"/>
        <w:bidi w:val="0"/>
        <w:spacing w:before="120" w:after="0"/>
        <w:jc w:val="left"/>
        <w:rPr>
          <w:rFonts w:ascii="Times New Roman" w:hAnsi="Times New Roman"/>
          <w:sz w:val="20"/>
        </w:rPr>
      </w:pPr>
      <w:r>
        <w:rPr>
          <w:rFonts w:ascii="Times New Roman" w:hAnsi="Times New Roman"/>
          <w:sz w:val="20"/>
        </w:rPr>
        <w:t>Each debt security may be represented by either a certificate issued in definitive form to a particular purchaser or by one or more global securities representing the entire issuance of debt securities, as described below under “</w:t>
      </w:r>
      <w:r>
        <w:rPr>
          <w:rFonts w:ascii="Times New Roman" w:hAnsi="Times New Roman"/>
          <w:i/>
          <w:sz w:val="20"/>
        </w:rPr>
        <w:t>Forms of Securities</w:t>
      </w:r>
      <w:r>
        <w:rPr>
          <w:rFonts w:ascii="Times New Roman" w:hAnsi="Times New Roman"/>
          <w:sz w:val="20"/>
        </w:rPr>
        <w:t xml:space="preserve">” and in Section 2.14 of the form of indenture. </w:t>
      </w:r>
    </w:p>
    <w:p>
      <w:pPr>
        <w:pStyle w:val="TextBody"/>
        <w:bidi w:val="0"/>
        <w:spacing w:before="240" w:after="0"/>
        <w:jc w:val="left"/>
        <w:rPr>
          <w:rFonts w:ascii="Times New Roman" w:hAnsi="Times New Roman"/>
          <w:sz w:val="20"/>
        </w:rPr>
      </w:pPr>
      <w:r>
        <w:rPr>
          <w:rFonts w:ascii="Times New Roman" w:hAnsi="Times New Roman"/>
          <w:sz w:val="20"/>
        </w:rPr>
        <w:t xml:space="preserve">If we issue certificated debt securities, you may transfer or exchange such certificates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You may effect the transfer of certificated debt securities and the right to receive the principal of, and premium (if any) and interest on, certificated debt securities only by surrendering the certificate representing those certificated debt securities and either the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information incorporated by reference or free writing prospectus, the provisions described in this paragraph will apply to the debt securities. Payment of interest on a debt security on any interest payment date will be made to the person in whose name the debt security is registered at the close of business on the record date for the applicable payment. Payment on debt securities of a particular series will be payable at the office of a paying agent or paying agents designated by us. However, at our option, we may pay interest by mailing a check to the record holder. The trustee will be designated as our initial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add, replace or terminate paying agents from time to time, or change the office of any paying agent, as set forth in a prospectus supplement, information incorporated by reference or free writing prospectus. However, we will be required to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moneys paid by us to a paying agent for payment on any debt security that remain unclaimed for a period of two years after such payment was due will be repaid to us. Thereafter, the holder may look only to us for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information incorporated by reference or free writing prospectus any restrictive covenants applicable to any issue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information incorporated by reference or free writing prospectus,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is a corporation organized and validly existing under the laws of any U.S. domestic jurisdiction and expressly assumes our obligations on any debt securities and under the related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(as defined in the indenture)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and assets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our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information incorporated by reference or free writing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information incorporated by reference or free writing prospectus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indemnity satisfactory to it against any cost, liability or expense which might be incurred by it in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reasonable indemnity or security,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and amend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covenants in the indenture as described above under “</w:t>
            </w:r>
            <w:r>
              <w:rPr>
                <w:rFonts w:ascii="Times New Roman" w:hAnsi="Times New Roman"/>
                <w:i/>
                <w:sz w:val="20"/>
              </w:rPr>
              <w:t>Description of the Debt Securities—Consolidation, Merger and Sale of Assets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of Indenture; 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The indenture provides that we may be discharged from our obligations under the indenture with respect to a series of debt securities (subject to certain exceptions) when, among other things, all of the debt securities of that series have been delivered to the trustee for cancellation and we have paid or caused to be paid all other sums payable under the indenture with respect to such debt securities, or, alternatively, when the following conditions (among others)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debt securities of that series that have not been delivered for cancellation have become due and payable, or will become due and payable within one year, or have been called for redemption or are to be called for redemption within one year under arrangements satisfactory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trustee, in trust, funds in an amount sufficient to pay and discharge each installment of principal (including mandatory sinking fund or analogous payments) of and interest on all the securities of such series on the dates such installments of principal or interest are due;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under the indenture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may omit to comply with the covenant described above under “</w:t>
            </w:r>
            <w:r>
              <w:rPr>
                <w:rFonts w:ascii="Times New Roman" w:hAnsi="Times New Roman"/>
                <w:i/>
                <w:sz w:val="20"/>
              </w:rPr>
              <w:t>Description of the Debt Securities—Consolidation, Merger and Sale of Assets</w:t>
            </w:r>
            <w:r>
              <w:rPr>
                <w:rFonts w:ascii="Times New Roman" w:hAnsi="Times New Roman"/>
                <w:sz w:val="20"/>
              </w:rPr>
              <w:t>” and certain other covenants set forth in the indenture, as well as any additional covenants which may be set forth in the applicable prospectus supplement, information incorporated by reference or free writing prospectus;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a covenant defeasance.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(including any mandatory sinking fund or analogous payments) of and interest on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may not be sufficient to pay amounts due on the debt securities of that series at the time of the acceleration resulting from the Event of Default. However, we shall remain liable for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without regard to conflict of law principles that would result in the application of any law other than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7914_10"/>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preferred stock, debt securities or any combination of the foregoing, either individually or as units comprised of two or more other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Any warrant agent will act solely as our agent in connection with the warrants of such series and will not assume any obligation or relationship of agency for or with holders or beneficial owners of warrants. We may also add, replace, or terminate warrant agents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warrants and warrant agreements is subject to, and qualified in its entirety by reference to, all the provisions of the warrant agreement and warrant certificate applicable to a particular series of warrants. When warrants are offered, a prospectus supplement, information incorporated by reference or a free writing prospectus, as applicable, will explain the terms of any warrants offered, which may differ from and will modify or replace the terms described below. We urge you to read the applicable prospectus supplement, information incorporated by reference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information incorporated by reference or free writing prospectus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and may be exercised, including provisions for the exercise of the warrants without payment of cash,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number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units purchasable upon exercise of warrants to purchase units, the securities comprising such units and their terms,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in the number, type or amount of securities purchasable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whether registered warrants will be issued in the form of a certificate issued in definitive form or as one or more global securities representing the entire issuance of warrants, as described under “</w:t>
            </w:r>
            <w:r>
              <w:rPr>
                <w:rFonts w:ascii="Times New Roman" w:hAnsi="Times New Roman"/>
                <w:i/>
                <w:sz w:val="20"/>
              </w:rPr>
              <w:t>Forms of Securities</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or preferred stock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or other distributions (including upon any liquidation, dissolution or winding up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exercisable for debt securities will not have any of the rights of holders of the debt securities purchasable upon such exercise and will therefore not be entitled to payments of principal (or premium, if any) or interest, if any, and may not enforce covenants in any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or units at the exercise price set forth in, or calculable as set forth in, the applicable prospectus supplement, information incorporated by reference or free writing prospectus. Unless we otherwise specify in the applicable prospectus supplement, information incorporated by reference or free writing prospectus, holders of the warrants may exercise the warrants at any time up to the specified time on the expiration date that we set forth in the applicable prospectus supplement, information incorporated by reference or free writing prospectus. After such specified time on the expiration date, unexercised warrants will become void. Warrants may be redeemed as set forth in the applicable prospectus supplement, information incorporated by reference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warrants represented by a warrant certificate are exercised, a new warrant certificate will be issued for the remaining warrants.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7914_11"/>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our common stock, preferred stock, debt securities, and/or warrants to purchase any of these securities in one or more series. We may evidence each series of units by unit certificates that we will issue under a separate agreement.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unit agreements with a unit agent. We will indicate the name and address of the unit agent in the applicable prospectus supplement relating to a particular series of units, information incorporated by reference or a related free writing prospectus. Each unit agent will act solely as our agent in connection with the certificates relating to the units and will not assume any obligation or relationship of agency or trust with any holders of unit certificates or beneficial owners of units. We may also add, replace, or terminate unit agents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information incorporated by reference or free writing prospectus, summarizes the general features of the units that we may offer under this prospectus. When units are offered, a prospectus supplement, information incorporated by reference or a free writing prospectus, as applicable, will explain the terms of any units offered, which may differ from and will modify or replace the terms described below. We urge you to read the applicable prospectus supplement, information incorporated by reference and any related free writing prospectus,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units will be described in the prospectus supplement, information incorporated by reference or free writing prospectus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the securities composing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whether the units will be issued in the form of a certificate issued in definitive form or as one or more global securities representing the entire issuance of units, as described under “</w:t>
            </w:r>
            <w:r>
              <w:rPr>
                <w:rFonts w:ascii="Times New Roman" w:hAnsi="Times New Roman"/>
                <w:i/>
                <w:sz w:val="20"/>
              </w:rPr>
              <w:t>Forms of Securities</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7914_12"/>
      <w:bookmarkEnd w:id="26"/>
      <w:r>
        <w:rPr>
          <w:rFonts w:ascii="Times New Roman" w:hAnsi="Times New Roman"/>
          <w:b/>
          <w:sz w:val="20"/>
        </w:rPr>
        <w:t xml:space="preserve">FORMS OF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warrant, and unit will be represented either by a certificate issued in definitive form to a particular purchaser or by one or more global securities representing the entire issuance of securities. Unless the applicable prospectus supplement, information incorporated by reference or free writing prospectus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purchaser’s beneficial ownership of the securities through an account maintained by the purchaser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debt securities, warrants or units in the form of one or more fully registered global securities, bearing all applicable legends, to be deposited with and registered in the name of a depositary or its nominee identified in the applicable prospectus supplement, information incorporated by reference or free writing prospectus.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certificated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information incorporated by reference or free writing prospectus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global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such purchasers’ global abilities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These procedures may change from time to time.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on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the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registered global security is at any time unwilling or unable to continue as depositary or ceases to be qualified to serve as a depositary, and a qualified successor depositary is not appointed by us within 90 days, we will issue certificated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7914_13"/>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to or through underwriters or dealers, directly to purchasers, through agents or through a combination of any these methods. We may distribute the securities in one or more transactions, including block transactions, at a fixed price or prices, which may be changed, market prices prevailing at the time of sale, prices related to the prevailing market prices, negotiated prices or prices determined by competitive bids, or through any other method permitted by applicable law and described in a prospectus supplement. The prospectus supplement, information incorporated by reference or a related free writing prospectus will include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including any option to purchase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or agency fees and other items constituting underwriters’ or agents’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engage in at-the-market offerings into an existing trading market in accordance with Rule 415(a)(4).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Any at-the-market offering will be through an underwriter or underwriters acting as principal or agent for us. We may engage in block transactions on any stock exchange or other market where the securities may be traded. </w:t>
      </w:r>
    </w:p>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applicable prospectus supplement, information incorporated by reference or free writing prospectus, the obligations of the underwriters to purchase the securities will be subject to certain conditions, and the underwriters will be obligated to purchase all the offered securities if they purchase any of them (other than securities that they may have the option to purchase). The underwriters may change from time to time any initial public offering price and any discounts or concessions allowed or reallowed or paid to dealers. Underwriters may be deemed to have received compensation from us in the form of underwriting discounts or commissions and may also receive commissions from purchasers for whom they may act as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may sell our securities to or through dealers. These dealers may receive compensation in the form of discounts, commissions or concessions from the underwriters and/or commissions from the purchasers for whom they may act as agent. Any offering price and any discounts or concessions allowed or reallowed or paid to dealers may be changed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If dealers are used in the sale of securities offered through this prospectus, we may sell the securities to them as principals. They may then resell those securities to the public at varying prices determined by the dealers at the time of resale. Dealers engaged by us may allow other dealers to participate in resales. The applicable prospectus supplement, information incorporated by reference or free writing prospectus will include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our securities may be deemed to be underwriters as defined in the Securities Act, and any discounts or commissions they receive from us, as well as any profit on their resale of our securities, may be treated as underwriting compensation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applicable prospectus supplement, information incorporated by reference or free writing prospectus will name any agent involved in the offer or sale of the offered securities and will describe any commissions payable to the agent. Unless otherwise indicated in the applicable prospectus supplement, information incorporated by reference or free writing prospectus,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information incorporated by reference or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information incorporated by reference or free writing prospectus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information incorporated by reference or free writing prospectus. The applicable prospectus supplement, information incorporated by reference or free writing prospectus will describe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information incorporated by reference or free writing prospectus states otherwise, each series of offered securities, other than common stock, will be a new issue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from us, if any, in the offering. If the underwriters have an option to purchase additional securities from us, the underwriters may close out any covered short position by either exercising their option to purchase additional securities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option to purchase additional securities. “Naked” short sales are any sales in excess of such option or where the underwriters do not have an option to purchase additional securities.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Select Market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(except for offerings priced after 4:30 p.m. Eastern Time, which may settle on the second business day after the trade date), unless the parties to any such trade expressly agree otherwise at the time of the transaction. The applicable prospectus supplement may provide that the original issue date for your securities will be more than one scheduled business day after the trade date for your securities. Accordingly, in such a case, if you wish to trade securities on any date prior to the business day immediately preceding the original issue date for your securities, you will be required, by virtue of the fact that your securities initially are expected to settle in more than one scheduled business day after the trade date for your securities, to make alternative settlement arrangements at the time of trade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Any underwriters who are qualified market makers on the Nasdaq Global Select Market may engage in passive market-making transactions in our securities on the Nasdaq Global Select Market in accordance with Rule 103 of Regulation M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 information incorporated by reference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agree to indemnify underwriters, dealers and agents against civil liabilities arising out of this prospectus and any applicable prospectus supplement, information incorporated by reference or free writing prospectus, including liabilities under the Securities Act, and to contribute to payments which the underwriters, dealers and agents may be required to make relating to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7914_14"/>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us by Foley Hoag LLP of Boston, Massachusetts. If the validity of any securities is also passed upon by counsel for any underwriters, dealers or agents, that counsel will be named in the prospectus supplement relating to that specific offering. </w:t>
      </w:r>
    </w:p>
    <w:p>
      <w:pPr>
        <w:pStyle w:val="TextBody"/>
        <w:bidi w:val="0"/>
        <w:spacing w:before="480" w:after="0"/>
        <w:jc w:val="center"/>
        <w:rPr>
          <w:rFonts w:ascii="Times New Roman" w:hAnsi="Times New Roman"/>
          <w:b/>
          <w:sz w:val="20"/>
        </w:rPr>
      </w:pPr>
      <w:bookmarkStart w:id="29" w:name="tx17914_15"/>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September 30,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82240" cy="7708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2682240" cy="77089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$75,000,000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900" w:after="0"/>
        <w:jc w:val="center"/>
        <w:rPr>
          <w:rFonts w:ascii="Times New Roman" w:hAnsi="Times New Roman"/>
          <w:b/>
          <w:sz w:val="36"/>
        </w:rPr>
      </w:pPr>
      <w:r>
        <w:rPr>
          <w:rFonts w:ascii="Times New Roman" w:hAnsi="Times New Roman"/>
          <w:b/>
          <w:sz w:val="36"/>
        </w:rPr>
        <w:t xml:space="preserve">Jefferies </w:t>
      </w:r>
    </w:p>
    <w:p>
      <w:pPr>
        <w:pStyle w:val="TextBody"/>
        <w:bidi w:val="0"/>
        <w:spacing w:before="3000" w:after="0"/>
        <w:jc w:val="center"/>
        <w:rPr>
          <w:rFonts w:ascii="Times New Roman" w:hAnsi="Times New Roman"/>
          <w:b/>
          <w:sz w:val="20"/>
        </w:rPr>
      </w:pPr>
      <w:r>
        <w:rPr>
          <w:rFonts w:ascii="Times New Roman" w:hAnsi="Times New Roman"/>
          <w:b/>
          <w:sz w:val="20"/>
        </w:rPr>
        <w:t xml:space="preserve">July 2,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177648/000119312525288121/enta-20250930.htm" TargetMode="External"/><Relationship Id="rId4" Type="http://schemas.openxmlformats.org/officeDocument/2006/relationships/hyperlink" Target="http://www.sec.gov/Archives/edgar/data/../../../ix?doc=/Archives/edgar/data/0001177648/000119312526022558/enta-20260126.htm" TargetMode="External"/><Relationship Id="rId5" Type="http://schemas.openxmlformats.org/officeDocument/2006/relationships/hyperlink" Target="http://www.sec.gov/Archives/edgar/data/../../../ix?doc=/Archives/edgar/data/0001177648/000119312526046502/enta-20251231.htm" TargetMode="External"/><Relationship Id="rId6" Type="http://schemas.openxmlformats.org/officeDocument/2006/relationships/hyperlink" Target="http://www.sec.gov/Archives/edgar/data/../../../ix?doc=/Archives/edgar/data/0001177648/000119312526220572/enta-20260331.htm" TargetMode="External"/><Relationship Id="rId7" Type="http://schemas.openxmlformats.org/officeDocument/2006/relationships/hyperlink" Target="http://www.sec.gov/Archives/edgar/data/../../../ix?doc=/Archives/edgar/data/0001177648/000119312525226828/d81869d8k.htm" TargetMode="External"/><Relationship Id="rId8" Type="http://schemas.openxmlformats.org/officeDocument/2006/relationships/hyperlink" Target="http://www.sec.gov/Archives/edgar/data/../../../ix?doc=/Archives/edgar/data/0001177648/000119312526104109/enta-20260311.htm" TargetMode="External"/><Relationship Id="rId9" Type="http://schemas.openxmlformats.org/officeDocument/2006/relationships/hyperlink" Target="http://www.sec.gov/Archives/edgar/data/../../../ix?doc=/Archives/edgar/data/0001177648/000119312526125113/enta-20260320.htm" TargetMode="External"/><Relationship Id="rId10" Type="http://schemas.openxmlformats.org/officeDocument/2006/relationships/hyperlink" Target="http://www.sec.gov/Archives/edgar/data/1177648/000119312526279803/d133783d8k.htm" TargetMode="External"/><Relationship Id="rId11" Type="http://schemas.openxmlformats.org/officeDocument/2006/relationships/hyperlink" Target="http://www.sec.gov/Archives/edgar/data/0001177648/000119312513111475/d503456d8a12b.htm" TargetMode="External"/><Relationship Id="rId12" Type="http://schemas.openxmlformats.org/officeDocument/2006/relationships/hyperlink" Target="http://www.sec.gov/Archives/edgar/data/1177648/000156459019044729/enta-ex43_41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1177648/000119312525288121/enta-20250930.htm" TargetMode="External"/><Relationship Id="rId15" Type="http://schemas.openxmlformats.org/officeDocument/2006/relationships/hyperlink" Target="http://www.sec.gov/Archives/edgar/data/../../../ix?doc=/Archives/edgar/data/0001177648/000119312526022558/enta-20260126.htm" TargetMode="External"/><Relationship Id="rId16" Type="http://schemas.openxmlformats.org/officeDocument/2006/relationships/hyperlink" Target="http://www.sec.gov/Archives/edgar/data/../../../ix?doc=/Archives/edgar/data/1177648/000119312526046502/enta-20251231.htm" TargetMode="External"/><Relationship Id="rId17" Type="http://schemas.openxmlformats.org/officeDocument/2006/relationships/hyperlink" Target="http://www.sec.gov/Archives/edgar/data/../../../ix?doc=/Archives/edgar/data/0001177648/000119312525226828/d81869d8k.htm" TargetMode="External"/><Relationship Id="rId18" Type="http://schemas.openxmlformats.org/officeDocument/2006/relationships/hyperlink" Target="http://www.sec.gov/Archives/edgar/data/1177648/000119312513111475/d503456d8a12b.htm" TargetMode="External"/><Relationship Id="rId19" Type="http://schemas.openxmlformats.org/officeDocument/2006/relationships/hyperlink" Target="http://www.sec.gov/Archives/edgar/data/1177648/000156459019044729/enta-ex43_411.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24508</Words>
  <Characters>130290</Characters>
  <CharactersWithSpaces>155212</CharactersWithSpaces>
  <Paragraphs>1422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