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7" w:lineRule="exact"/>
        <w:rPr>
          <w:sz w:val="24"/>
          <w:szCs w:val="24"/>
          <w:color w:val="auto"/>
        </w:rPr>
      </w:pPr>
    </w:p>
    <w:p>
      <w:pPr>
        <w:ind w:left="580" w:right="180" w:hanging="572"/>
        <w:spacing w:after="0" w:line="25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color w:val="auto"/>
        </w:rPr>
        <w:t>March 31,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9" w:lineRule="exact"/>
        <w:rPr>
          <w:sz w:val="24"/>
          <w:szCs w:val="24"/>
          <w:color w:val="auto"/>
        </w:rPr>
      </w:pPr>
    </w:p>
    <w:tbl>
      <w:tblPr>
        <w:tblLayout w:type="fixed"/>
        <w:tblInd w:w="920" w:type="dxa"/>
        <w:tblCellMar>
          <w:top w:w="0" w:type="dxa"/>
          <w:left w:w="0" w:type="dxa"/>
          <w:bottom w:w="0" w:type="dxa"/>
          <w:right w:w="0" w:type="dxa"/>
        </w:tblCellMar>
      </w:tblPr>
      <w:tr>
        <w:trPr>
          <w:trHeight w:val="212"/>
        </w:trPr>
        <w:tc>
          <w:tcPr>
            <w:tcW w:w="2840" w:type="dxa"/>
            <w:vAlign w:val="bottom"/>
          </w:tcPr>
          <w:p>
            <w:pPr>
              <w:jc w:val="center"/>
              <w:ind w:right="862"/>
              <w:spacing w:after="0"/>
              <w:rPr>
                <w:sz w:val="20"/>
                <w:szCs w:val="20"/>
                <w:color w:val="auto"/>
              </w:rPr>
            </w:pPr>
            <w:r>
              <w:rPr>
                <w:rFonts w:ascii="Arial" w:cs="Arial" w:eastAsia="Arial" w:hAnsi="Arial"/>
                <w:sz w:val="18"/>
                <w:szCs w:val="18"/>
                <w:b w:val="1"/>
                <w:bCs w:val="1"/>
                <w:color w:val="auto"/>
                <w:w w:val="98"/>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2834</w:t>
            </w:r>
          </w:p>
        </w:tc>
        <w:tc>
          <w:tcPr>
            <w:tcW w:w="248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04-3205099</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80" w:type="dxa"/>
            <w:vAlign w:val="bottom"/>
          </w:tcPr>
          <w:p>
            <w:pPr>
              <w:jc w:val="center"/>
              <w:ind w:left="100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480" w:type="dxa"/>
            <w:vAlign w:val="bottom"/>
          </w:tcPr>
          <w:p>
            <w:pPr>
              <w:jc w:val="center"/>
              <w:ind w:left="98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ind w:left="5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63"/>
        </w:trPr>
        <w:tc>
          <w:tcPr>
            <w:tcW w:w="38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3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4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7"/>
        </w:trPr>
        <w:tc>
          <w:tcPr>
            <w:tcW w:w="38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3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ENTA</w:t>
            </w:r>
          </w:p>
        </w:tc>
        <w:tc>
          <w:tcPr>
            <w:tcW w:w="40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NASDAQ</w:t>
            </w:r>
          </w:p>
        </w:tc>
      </w:tr>
      <w:tr>
        <w:trPr>
          <w:trHeight w:val="81"/>
        </w:trPr>
        <w:tc>
          <w:tcPr>
            <w:tcW w:w="3800" w:type="dxa"/>
            <w:vAlign w:val="bottom"/>
            <w:tcBorders>
              <w:left w:val="single" w:sz="8" w:color="auto"/>
              <w:bottom w:val="single" w:sz="8" w:color="auto"/>
              <w:right w:val="single" w:sz="8" w:color="auto"/>
            </w:tcBorders>
          </w:tcPr>
          <w:p>
            <w:pPr>
              <w:spacing w:after="0"/>
              <w:rPr>
                <w:sz w:val="7"/>
                <w:szCs w:val="7"/>
                <w:color w:val="auto"/>
              </w:rPr>
            </w:pPr>
          </w:p>
        </w:tc>
        <w:tc>
          <w:tcPr>
            <w:tcW w:w="3440" w:type="dxa"/>
            <w:vAlign w:val="bottom"/>
            <w:tcBorders>
              <w:bottom w:val="single" w:sz="8" w:color="auto"/>
              <w:right w:val="single" w:sz="8" w:color="auto"/>
            </w:tcBorders>
          </w:tcPr>
          <w:p>
            <w:pPr>
              <w:spacing w:after="0"/>
              <w:rPr>
                <w:sz w:val="7"/>
                <w:szCs w:val="7"/>
                <w:color w:val="auto"/>
              </w:rPr>
            </w:pPr>
          </w:p>
        </w:tc>
        <w:tc>
          <w:tcPr>
            <w:tcW w:w="4000" w:type="dxa"/>
            <w:vAlign w:val="bottom"/>
            <w:tcBorders>
              <w:bottom w:val="single" w:sz="8" w:color="auto"/>
              <w:right w:val="single" w:sz="8" w:color="auto"/>
            </w:tcBorders>
          </w:tcPr>
          <w:p>
            <w:pPr>
              <w:spacing w:after="0"/>
              <w:rPr>
                <w:sz w:val="7"/>
                <w:szCs w:val="7"/>
                <w:color w:val="auto"/>
              </w:rPr>
            </w:pPr>
          </w:p>
        </w:tc>
      </w:tr>
    </w:tbl>
    <w:p>
      <w:pPr>
        <w:spacing w:after="0" w:line="94"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510"/>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4"/>
        </w:trPr>
        <w:tc>
          <w:tcPr>
            <w:tcW w:w="2360" w:type="dxa"/>
            <w:vAlign w:val="bottom"/>
          </w:tcPr>
          <w:p>
            <w:pPr>
              <w:spacing w:after="0" w:line="174" w:lineRule="exact"/>
              <w:rPr>
                <w:sz w:val="20"/>
                <w:szCs w:val="20"/>
                <w:color w:val="auto"/>
              </w:rPr>
            </w:pPr>
            <w:r>
              <w:rPr>
                <w:rFonts w:ascii="Arial" w:cs="Arial" w:eastAsia="Arial" w:hAnsi="Arial"/>
                <w:sz w:val="18"/>
                <w:szCs w:val="18"/>
                <w:color w:val="auto"/>
              </w:rPr>
              <w:t>Large accelerated filer</w:t>
            </w:r>
          </w:p>
        </w:tc>
        <w:tc>
          <w:tcPr>
            <w:tcW w:w="2960" w:type="dxa"/>
            <w:vAlign w:val="bottom"/>
          </w:tcPr>
          <w:p>
            <w:pPr>
              <w:ind w:left="420"/>
              <w:spacing w:after="0" w:line="175"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380"/>
              <w:spacing w:after="0" w:line="174" w:lineRule="exact"/>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75"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380"/>
              <w:spacing w:after="0"/>
              <w:rPr>
                <w:sz w:val="20"/>
                <w:szCs w:val="20"/>
                <w:color w:val="auto"/>
              </w:rPr>
            </w:pPr>
            <w:r>
              <w:rPr>
                <w:rFonts w:ascii="Arial" w:cs="Arial" w:eastAsia="Arial" w:hAnsi="Arial"/>
                <w:sz w:val="18"/>
                <w:szCs w:val="18"/>
                <w:color w:val="auto"/>
                <w:w w:val="99"/>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ind w:left="20" w:right="280" w:firstLine="518"/>
        <w:spacing w:after="0" w:line="21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right="1220"/>
        <w:spacing w:after="0" w:line="21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30, 2020, the registrant had 20,004,258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I—FINANCIAL INFORMATION</w:t>
              </w:r>
            </w:hyperlink>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100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Balance Sheets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Consolidated Statements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Consolidated Statements of Comprehensive Income (Loss)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Stockholders’ Equity</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Consolidated Statements of Cash Flows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002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Unaudited Notes to Consolidated Financial Statements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10020" w:type="dxa"/>
            <w:vAlign w:val="bottom"/>
          </w:tcPr>
          <w:p>
            <w:pPr>
              <w:ind w:left="8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Management’s Discussion and Analysis of Financial Condition and Results of Operations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100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Quantitative and Qualitative Disclosures about Market Risk</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2"/>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10020" w:type="dxa"/>
            <w:vAlign w:val="bottom"/>
          </w:tcPr>
          <w:p>
            <w:pPr>
              <w:ind w:left="8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0"/>
        </w:trPr>
        <w:tc>
          <w:tcPr>
            <w:tcW w:w="10880" w:type="dxa"/>
            <w:vAlign w:val="bottom"/>
            <w:gridSpan w:val="2"/>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II—OTHER INFORMATION</w:t>
              </w:r>
            </w:hyperlink>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1002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10020" w:type="dxa"/>
            <w:vAlign w:val="bottom"/>
          </w:tcPr>
          <w:p>
            <w:pPr>
              <w:ind w:left="80"/>
              <w:spacing w:after="0"/>
              <w:rPr>
                <w:rFonts w:ascii="Arial" w:cs="Arial" w:eastAsia="Arial" w:hAnsi="Arial"/>
                <w:sz w:val="18"/>
                <w:szCs w:val="18"/>
                <w:u w:val="single" w:color="auto"/>
                <w:color w:val="0000EE"/>
              </w:rPr>
            </w:pPr>
            <w:hyperlink w:anchor="page54">
              <w:r>
                <w:rPr>
                  <w:rFonts w:ascii="Arial" w:cs="Arial" w:eastAsia="Arial" w:hAnsi="Arial"/>
                  <w:sz w:val="18"/>
                  <w:szCs w:val="18"/>
                  <w:u w:val="single" w:color="auto"/>
                  <w:color w:val="0000EE"/>
                </w:rPr>
                <w:t>Exhibits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0"/>
        </w:trPr>
        <w:tc>
          <w:tcPr>
            <w:tcW w:w="860" w:type="dxa"/>
            <w:vAlign w:val="bottom"/>
          </w:tcPr>
          <w:p>
            <w:pPr>
              <w:spacing w:after="0"/>
              <w:rPr>
                <w:rFonts w:ascii="Arial" w:cs="Arial" w:eastAsia="Arial" w:hAnsi="Arial"/>
                <w:sz w:val="18"/>
                <w:szCs w:val="18"/>
                <w:u w:val="single" w:color="auto"/>
                <w:color w:val="0000EE"/>
                <w:w w:val="97"/>
              </w:rPr>
            </w:pPr>
            <w:hyperlink w:anchor="page55">
              <w:r>
                <w:rPr>
                  <w:rFonts w:ascii="Arial" w:cs="Arial" w:eastAsia="Arial" w:hAnsi="Arial"/>
                  <w:sz w:val="18"/>
                  <w:szCs w:val="18"/>
                  <w:u w:val="single" w:color="auto"/>
                  <w:color w:val="0000EE"/>
                  <w:w w:val="97"/>
                </w:rPr>
                <w:t>Signatures</w:t>
              </w:r>
            </w:hyperlink>
          </w:p>
        </w:tc>
        <w:tc>
          <w:tcPr>
            <w:tcW w:w="100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or Form 10-Q,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Form 10-Q may turn out to be inaccurate. Factors that may cause actual results to differ materially from current expectations include, among other things, those listed under “Risk Factors” and discussed elsewhere in this Form 10-Q. These forward-looking statements speak only as of the date of this Form 10-Q.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Form 10-Q.</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PART I—FINANCIAL INFORMATION</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0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1120" w:type="dxa"/>
            <w:vAlign w:val="bottom"/>
          </w:tcPr>
          <w:p>
            <w:pPr>
              <w:spacing w:after="0"/>
              <w:rPr>
                <w:sz w:val="24"/>
                <w:szCs w:val="24"/>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rPr>
              <w:t>ENANTA PHARMACEUTICALS, INC.</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1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6600" w:type="dxa"/>
            <w:vAlign w:val="bottom"/>
          </w:tcPr>
          <w:p>
            <w:pPr>
              <w:jc w:val="center"/>
              <w:ind w:left="233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9"/>
        </w:trPr>
        <w:tc>
          <w:tcPr>
            <w:tcW w:w="11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1120" w:type="dxa"/>
            <w:vAlign w:val="bottom"/>
            <w:tcBorders>
              <w:bottom w:val="single" w:sz="8" w:color="CFF0FC"/>
            </w:tcBorders>
          </w:tcPr>
          <w:p>
            <w:pPr>
              <w:spacing w:after="0"/>
              <w:rPr>
                <w:sz w:val="14"/>
                <w:szCs w:val="14"/>
                <w:color w:val="auto"/>
              </w:rPr>
            </w:pPr>
          </w:p>
        </w:tc>
        <w:tc>
          <w:tcPr>
            <w:tcW w:w="66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280,917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284,006</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51,313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402,709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401,848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65,013</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9,738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10,927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12,418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11,341</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6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513,501</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15,920</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120" w:type="dxa"/>
            <w:vAlign w:val="bottom"/>
          </w:tcPr>
          <w:p>
            <w:pPr>
              <w:spacing w:after="0"/>
              <w:rPr>
                <w:sz w:val="19"/>
                <w:szCs w:val="19"/>
                <w:color w:val="auto"/>
              </w:rPr>
            </w:pPr>
          </w:p>
        </w:tc>
      </w:tr>
      <w:tr>
        <w:trPr>
          <w:trHeight w:val="229"/>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27,337</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Common stock; $0.01 par value per share, 100,000 shares authorized; 19,986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19,703 shares issued and outstanding at March 31, 2020 and</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September 30, 2019,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20"/>
                <w:szCs w:val="20"/>
                <w:color w:val="auto"/>
              </w:rPr>
            </w:pPr>
          </w:p>
        </w:tc>
      </w:tr>
      <w:tr>
        <w:trPr>
          <w:trHeight w:val="230"/>
        </w:trPr>
        <w:tc>
          <w:tcPr>
            <w:tcW w:w="772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314,005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298,409</w:t>
            </w:r>
          </w:p>
        </w:tc>
        <w:tc>
          <w:tcPr>
            <w:tcW w:w="120" w:type="dxa"/>
            <w:vAlign w:val="bottom"/>
          </w:tcPr>
          <w:p>
            <w:pPr>
              <w:spacing w:after="0"/>
              <w:rPr>
                <w:sz w:val="19"/>
                <w:szCs w:val="19"/>
                <w:color w:val="auto"/>
              </w:rPr>
            </w:pPr>
          </w:p>
        </w:tc>
      </w:tr>
      <w:tr>
        <w:trPr>
          <w:trHeight w:val="230"/>
        </w:trPr>
        <w:tc>
          <w:tcPr>
            <w:tcW w:w="77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171,178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163,740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485,991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462,492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gridSpan w:val="2"/>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513,501</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489,829</w:t>
            </w:r>
          </w:p>
        </w:tc>
        <w:tc>
          <w:tcPr>
            <w:tcW w:w="12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7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27,619</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39,631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80,189</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109,517</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69,033</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39,494</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79,193</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82,965</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(11,875)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26,552</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Interest income (expense), net</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4,026</w:t>
            </w:r>
          </w:p>
        </w:tc>
        <w:tc>
          <w:tcPr>
            <w:tcW w:w="3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Borders>
              <w:bottom w:val="single" w:sz="8" w:color="CFF0FC"/>
            </w:tcBorders>
          </w:tcPr>
          <w:p>
            <w:pPr>
              <w:spacing w:after="0"/>
              <w:rPr>
                <w:sz w:val="19"/>
                <w:szCs w:val="19"/>
                <w:color w:val="auto"/>
              </w:rPr>
            </w:pPr>
          </w:p>
        </w:tc>
      </w:tr>
      <w:tr>
        <w:trPr>
          <w:trHeight w:val="223"/>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3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4,130</w:t>
            </w:r>
          </w:p>
        </w:tc>
        <w:tc>
          <w:tcPr>
            <w:tcW w:w="120" w:type="dxa"/>
            <w:vAlign w:val="bottom"/>
            <w:shd w:val="clear" w:color="auto" w:fill="CFF0FC"/>
          </w:tcPr>
          <w:p>
            <w:pPr>
              <w:spacing w:after="0"/>
              <w:rPr>
                <w:sz w:val="19"/>
                <w:szCs w:val="19"/>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(9,925)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5,022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30,682</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 benefit</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(526)</w:t>
            </w:r>
          </w:p>
        </w:tc>
      </w:tr>
      <w:tr>
        <w:trPr>
          <w:trHeight w:val="263"/>
        </w:trPr>
        <w:tc>
          <w:tcPr>
            <w:tcW w:w="5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(6,005)</w:t>
            </w:r>
          </w:p>
        </w:tc>
        <w:tc>
          <w:tcPr>
            <w:tcW w:w="30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4,145</w:t>
            </w:r>
          </w:p>
        </w:tc>
        <w:tc>
          <w:tcPr>
            <w:tcW w:w="2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7,438</w:t>
            </w:r>
          </w:p>
        </w:tc>
        <w:tc>
          <w:tcPr>
            <w:tcW w:w="32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30,156</w:t>
            </w:r>
          </w:p>
        </w:tc>
        <w:tc>
          <w:tcPr>
            <w:tcW w:w="120" w:type="dxa"/>
            <w:vAlign w:val="bottom"/>
            <w:tcBorders>
              <w:bottom w:val="single" w:sz="8" w:color="CFF0FC"/>
            </w:tcBorders>
          </w:tcPr>
          <w:p>
            <w:pPr>
              <w:spacing w:after="0"/>
              <w:rPr>
                <w:sz w:val="22"/>
                <w:szCs w:val="22"/>
                <w:color w:val="auto"/>
              </w:rPr>
            </w:pPr>
          </w:p>
        </w:tc>
      </w:tr>
      <w:tr>
        <w:trPr>
          <w:trHeight w:val="210"/>
        </w:trPr>
        <w:tc>
          <w:tcPr>
            <w:tcW w:w="5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(0.30)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(0.30)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0.20</w:t>
            </w:r>
          </w:p>
        </w:tc>
        <w:tc>
          <w:tcPr>
            <w:tcW w:w="200" w:type="dxa"/>
            <w:vAlign w:val="bottom"/>
          </w:tcPr>
          <w:p>
            <w:pPr>
              <w:spacing w:after="0"/>
              <w:rPr>
                <w:sz w:val="19"/>
                <w:szCs w:val="19"/>
                <w:color w:val="auto"/>
              </w:rPr>
            </w:pP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19,487</w:t>
            </w:r>
          </w:p>
        </w:tc>
        <w:tc>
          <w:tcPr>
            <w:tcW w:w="120" w:type="dxa"/>
            <w:vAlign w:val="bottom"/>
            <w:shd w:val="clear" w:color="auto" w:fill="CFF0FC"/>
          </w:tcPr>
          <w:p>
            <w:pPr>
              <w:spacing w:after="0"/>
              <w:rPr>
                <w:sz w:val="19"/>
                <w:szCs w:val="19"/>
                <w:color w:val="auto"/>
              </w:rPr>
            </w:pPr>
          </w:p>
        </w:tc>
      </w:tr>
      <w:tr>
        <w:trPr>
          <w:trHeight w:val="230"/>
        </w:trPr>
        <w:tc>
          <w:tcPr>
            <w:tcW w:w="5760" w:type="dxa"/>
            <w:vAlign w:val="bottom"/>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19,922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20,692</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20,946</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07"/>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980" w:type="dxa"/>
            <w:vAlign w:val="bottom"/>
            <w:tcBorders>
              <w:bottom w:val="single" w:sz="8" w:color="CFF0FC"/>
            </w:tcBorders>
          </w:tcPr>
          <w:p>
            <w:pPr>
              <w:spacing w:after="0"/>
              <w:rPr>
                <w:sz w:val="13"/>
                <w:szCs w:val="13"/>
                <w:color w:val="auto"/>
              </w:rPr>
            </w:pPr>
          </w:p>
        </w:tc>
        <w:tc>
          <w:tcPr>
            <w:tcW w:w="5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28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30,156</w:t>
            </w:r>
          </w:p>
        </w:tc>
        <w:tc>
          <w:tcPr>
            <w:tcW w:w="100" w:type="dxa"/>
            <w:vAlign w:val="bottom"/>
            <w:shd w:val="clear" w:color="auto" w:fill="CFF0FC"/>
          </w:tcPr>
          <w:p>
            <w:pPr>
              <w:spacing w:after="0"/>
              <w:rPr>
                <w:sz w:val="19"/>
                <w:szCs w:val="19"/>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4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gains on marketable securities, net of tax of</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$119 and $78, $147 and $123</w:t>
            </w:r>
          </w:p>
        </w:tc>
        <w:tc>
          <w:tcPr>
            <w:tcW w:w="5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4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80" w:type="dxa"/>
            <w:vAlign w:val="bottom"/>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20"/>
                <w:szCs w:val="20"/>
                <w:color w:val="auto"/>
              </w:rPr>
            </w:pPr>
          </w:p>
        </w:tc>
      </w:tr>
      <w:tr>
        <w:trPr>
          <w:trHeight w:val="223"/>
        </w:trPr>
        <w:tc>
          <w:tcPr>
            <w:tcW w:w="49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other comprehensive income, net of tax</w:t>
            </w:r>
          </w:p>
        </w:tc>
        <w:tc>
          <w:tcPr>
            <w:tcW w:w="5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28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FF0FC"/>
            </w:tcBorders>
          </w:tcPr>
          <w:p>
            <w:pPr>
              <w:spacing w:after="0"/>
              <w:rPr>
                <w:sz w:val="19"/>
                <w:szCs w:val="19"/>
                <w:color w:val="auto"/>
              </w:rPr>
            </w:pPr>
          </w:p>
        </w:tc>
      </w:tr>
      <w:tr>
        <w:trPr>
          <w:trHeight w:val="223"/>
        </w:trPr>
        <w:tc>
          <w:tcPr>
            <w:tcW w:w="4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 (loss)</w:t>
            </w:r>
          </w:p>
        </w:tc>
        <w:tc>
          <w:tcPr>
            <w:tcW w:w="5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(5,631)</w:t>
            </w:r>
          </w:p>
        </w:tc>
        <w:tc>
          <w:tcPr>
            <w:tcW w:w="2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4,390</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7,900</w:t>
            </w:r>
          </w:p>
        </w:tc>
        <w:tc>
          <w:tcPr>
            <w:tcW w:w="28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1240" w:type="dxa"/>
            <w:vAlign w:val="bottom"/>
            <w:gridSpan w:val="3"/>
          </w:tcPr>
          <w:p>
            <w:pPr>
              <w:jc w:val="center"/>
              <w:ind w:right="240"/>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19,395</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194</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276,526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(398)</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117,357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393,679</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Balances at December 31, 2018</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19,435</w:t>
            </w:r>
          </w:p>
        </w:tc>
        <w:tc>
          <w:tcPr>
            <w:tcW w:w="220" w:type="dxa"/>
            <w:vAlign w:val="bottom"/>
            <w:tcBorders>
              <w:bottom w:val="single" w:sz="8" w:color="CFF0FC"/>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194</w:t>
            </w:r>
          </w:p>
        </w:tc>
        <w:tc>
          <w:tcPr>
            <w:tcW w:w="20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283,530</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(257)</w:t>
            </w:r>
          </w:p>
        </w:tc>
        <w:tc>
          <w:tcPr>
            <w:tcW w:w="220" w:type="dxa"/>
            <w:vAlign w:val="bottom"/>
            <w:tcBorders>
              <w:bottom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143,368</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426,835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20" w:type="dxa"/>
            <w:vAlign w:val="bottom"/>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tcPr>
          <w:p>
            <w:pPr>
              <w:jc w:val="right"/>
              <w:spacing w:after="0"/>
              <w:rPr>
                <w:sz w:val="20"/>
                <w:szCs w:val="20"/>
                <w:color w:val="auto"/>
              </w:rPr>
            </w:pPr>
            <w:r>
              <w:rPr>
                <w:rFonts w:ascii="Arial" w:cs="Arial" w:eastAsia="Arial" w:hAnsi="Arial"/>
                <w:sz w:val="16"/>
                <w:szCs w:val="16"/>
                <w:color w:val="auto"/>
              </w:rPr>
              <w:t>77</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(4,189)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(4,188)</w:t>
            </w: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20" w:type="dxa"/>
            <w:vAlign w:val="bottom"/>
          </w:tcPr>
          <w:p>
            <w:pPr>
              <w:spacing w:after="0"/>
              <w:rPr>
                <w:sz w:val="20"/>
                <w:szCs w:val="20"/>
                <w:color w:val="auto"/>
              </w:rPr>
            </w:pPr>
            <w:r>
              <w:rPr>
                <w:rFonts w:ascii="Arial" w:cs="Arial" w:eastAsia="Arial" w:hAnsi="Arial"/>
                <w:sz w:val="16"/>
                <w:szCs w:val="16"/>
                <w:b w:val="1"/>
                <w:bCs w:val="1"/>
                <w:color w:val="auto"/>
              </w:rPr>
              <w:t>Balances at March 31, 2019</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19,669</w:t>
            </w:r>
          </w:p>
        </w:tc>
        <w:tc>
          <w:tcPr>
            <w:tcW w:w="2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288,512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2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147,513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436,210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4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28"/>
        </w:trPr>
        <w:tc>
          <w:tcPr>
            <w:tcW w:w="4020" w:type="dxa"/>
            <w:vAlign w:val="bottom"/>
          </w:tcPr>
          <w:p>
            <w:pPr>
              <w:spacing w:after="0"/>
              <w:rPr>
                <w:sz w:val="19"/>
                <w:szCs w:val="19"/>
                <w:color w:val="auto"/>
              </w:rPr>
            </w:pPr>
          </w:p>
        </w:tc>
        <w:tc>
          <w:tcPr>
            <w:tcW w:w="196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55"/>
        </w:trPr>
        <w:tc>
          <w:tcPr>
            <w:tcW w:w="4020" w:type="dxa"/>
            <w:vAlign w:val="bottom"/>
          </w:tcPr>
          <w:p>
            <w:pPr>
              <w:spacing w:after="0"/>
              <w:rPr>
                <w:sz w:val="13"/>
                <w:szCs w:val="13"/>
                <w:color w:val="auto"/>
              </w:rPr>
            </w:pPr>
          </w:p>
        </w:tc>
        <w:tc>
          <w:tcPr>
            <w:tcW w:w="1000" w:type="dxa"/>
            <w:vAlign w:val="bottom"/>
          </w:tcPr>
          <w:p>
            <w:pPr>
              <w:jc w:val="right"/>
              <w:ind w:right="220"/>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line="155" w:lineRule="exact"/>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3"/>
                <w:szCs w:val="13"/>
                <w:color w:val="auto"/>
              </w:rPr>
            </w:pPr>
          </w:p>
        </w:tc>
        <w:tc>
          <w:tcPr>
            <w:tcW w:w="100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September 30,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19,703</w:t>
            </w:r>
          </w:p>
        </w:tc>
        <w:tc>
          <w:tcPr>
            <w:tcW w:w="22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197</w:t>
            </w: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298,409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w:t>
            </w: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163,740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462,492</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6"/>
                <w:szCs w:val="16"/>
                <w:color w:val="auto"/>
              </w:rPr>
              <w:t>76</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(1,140)</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(1,140)</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5,098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December 31,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19,810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198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304,672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177,183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482,287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2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Vesting of restricted stock units, net of</w:t>
            </w: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withholding</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(358)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net of tax</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2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(6,005)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(6,005)</w:t>
            </w:r>
          </w:p>
        </w:tc>
        <w:tc>
          <w:tcPr>
            <w:tcW w:w="0" w:type="dxa"/>
            <w:vAlign w:val="bottom"/>
          </w:tcPr>
          <w:p>
            <w:pPr>
              <w:spacing w:after="0"/>
              <w:rPr>
                <w:sz w:val="1"/>
                <w:szCs w:val="1"/>
                <w:color w:val="auto"/>
              </w:rPr>
            </w:pPr>
          </w:p>
        </w:tc>
      </w:tr>
      <w:tr>
        <w:trPr>
          <w:trHeight w:val="210"/>
        </w:trPr>
        <w:tc>
          <w:tcPr>
            <w:tcW w:w="40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Balances at March 31, 2020</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19,986</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740" w:type="dxa"/>
            <w:vAlign w:val="bottom"/>
            <w:tcBorders>
              <w:top w:val="single" w:sz="8" w:color="auto"/>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2"/>
              </w:rPr>
              <w:t>200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314,005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171,178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485,991</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20" w:type="dxa"/>
            <w:vAlign w:val="bottom"/>
            <w:gridSpan w:val="3"/>
          </w:tcPr>
          <w:p>
            <w:pPr>
              <w:jc w:val="right"/>
              <w:ind w:right="15"/>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7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255"/>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7"/>
        </w:trPr>
        <w:tc>
          <w:tcPr>
            <w:tcW w:w="7720" w:type="dxa"/>
            <w:vAlign w:val="bottom"/>
          </w:tcPr>
          <w:p>
            <w:pPr>
              <w:ind w:left="260"/>
              <w:spacing w:after="0"/>
              <w:rPr>
                <w:sz w:val="20"/>
                <w:szCs w:val="20"/>
                <w:color w:val="auto"/>
              </w:rPr>
            </w:pPr>
            <w:r>
              <w:rPr>
                <w:rFonts w:ascii="Arial" w:cs="Arial" w:eastAsia="Arial" w:hAnsi="Arial"/>
                <w:sz w:val="17"/>
                <w:szCs w:val="17"/>
                <w:color w:val="auto"/>
              </w:rPr>
              <w:t>Net income</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7,438</w:t>
            </w:r>
          </w:p>
        </w:tc>
        <w:tc>
          <w:tcPr>
            <w:tcW w:w="28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30,156</w:t>
            </w:r>
          </w:p>
        </w:tc>
        <w:tc>
          <w:tcPr>
            <w:tcW w:w="120" w:type="dxa"/>
            <w:vAlign w:val="bottom"/>
          </w:tcPr>
          <w:p>
            <w:pPr>
              <w:spacing w:after="0"/>
              <w:rPr>
                <w:sz w:val="19"/>
                <w:szCs w:val="19"/>
                <w:color w:val="auto"/>
              </w:rPr>
            </w:pPr>
          </w:p>
        </w:tc>
      </w:tr>
      <w:tr>
        <w:trPr>
          <w:trHeight w:val="20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Adjustments to reconcile net income to net cash provided by</w:t>
            </w: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20"/>
        </w:trPr>
        <w:tc>
          <w:tcPr>
            <w:tcW w:w="7720" w:type="dxa"/>
            <w:vAlign w:val="bottom"/>
            <w:shd w:val="clear" w:color="auto" w:fill="CFF0FC"/>
          </w:tcPr>
          <w:p>
            <w:pPr>
              <w:ind w:left="380"/>
              <w:spacing w:after="0"/>
              <w:rPr>
                <w:sz w:val="20"/>
                <w:szCs w:val="20"/>
                <w:color w:val="auto"/>
              </w:rPr>
            </w:pPr>
            <w:r>
              <w:rPr>
                <w:rFonts w:ascii="Arial" w:cs="Arial" w:eastAsia="Arial" w:hAnsi="Arial"/>
                <w:sz w:val="17"/>
                <w:szCs w:val="17"/>
                <w:color w:val="auto"/>
              </w:rPr>
              <w:t>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Stock-based compensation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10,076</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10,550</w:t>
            </w:r>
          </w:p>
        </w:tc>
        <w:tc>
          <w:tcPr>
            <w:tcW w:w="120" w:type="dxa"/>
            <w:vAlign w:val="bottom"/>
          </w:tcPr>
          <w:p>
            <w:pPr>
              <w:spacing w:after="0"/>
              <w:rPr>
                <w:sz w:val="19"/>
                <w:szCs w:val="19"/>
                <w:color w:val="auto"/>
              </w:rPr>
            </w:pP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Depreciation and amortization expense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1,819</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1,482</w:t>
            </w:r>
          </w:p>
        </w:tc>
        <w:tc>
          <w:tcPr>
            <w:tcW w:w="120" w:type="dxa"/>
            <w:vAlign w:val="bottom"/>
            <w:shd w:val="clear" w:color="auto" w:fill="CFF0FC"/>
          </w:tcPr>
          <w:p>
            <w:pPr>
              <w:spacing w:after="0"/>
              <w:rPr>
                <w:sz w:val="20"/>
                <w:szCs w:val="20"/>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Deferred income taxes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(1,224)</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(800)</w:t>
            </w:r>
          </w:p>
        </w:tc>
      </w:tr>
      <w:tr>
        <w:trPr>
          <w:trHeight w:val="232"/>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Premium paid on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(2,398)</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(1)</w:t>
            </w: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Accretion of discount on marketable securities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(379)</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(2,213)</w:t>
            </w:r>
          </w:p>
        </w:tc>
      </w:tr>
      <w:tr>
        <w:trPr>
          <w:trHeight w:val="231"/>
        </w:trPr>
        <w:tc>
          <w:tcPr>
            <w:tcW w:w="7720" w:type="dxa"/>
            <w:vAlign w:val="bottom"/>
            <w:shd w:val="clear" w:color="auto" w:fill="CFF0FC"/>
          </w:tcPr>
          <w:p>
            <w:pPr>
              <w:ind w:left="500"/>
              <w:spacing w:after="0"/>
              <w:rPr>
                <w:sz w:val="20"/>
                <w:szCs w:val="20"/>
                <w:color w:val="auto"/>
              </w:rPr>
            </w:pPr>
            <w:r>
              <w:rPr>
                <w:rFonts w:ascii="Arial" w:cs="Arial" w:eastAsia="Arial" w:hAnsi="Arial"/>
                <w:sz w:val="17"/>
                <w:szCs w:val="17"/>
                <w:color w:val="auto"/>
              </w:rPr>
              <w:t>Other non-cash items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FF0FC"/>
          </w:tcPr>
          <w:p>
            <w:pPr>
              <w:spacing w:after="0"/>
              <w:rPr>
                <w:sz w:val="20"/>
                <w:szCs w:val="20"/>
                <w:color w:val="auto"/>
              </w:rPr>
            </w:pPr>
          </w:p>
        </w:tc>
      </w:tr>
      <w:tr>
        <w:trPr>
          <w:trHeight w:val="228"/>
        </w:trPr>
        <w:tc>
          <w:tcPr>
            <w:tcW w:w="7720" w:type="dxa"/>
            <w:vAlign w:val="bottom"/>
          </w:tcPr>
          <w:p>
            <w:pPr>
              <w:ind w:left="500"/>
              <w:spacing w:after="0"/>
              <w:rPr>
                <w:sz w:val="20"/>
                <w:szCs w:val="20"/>
                <w:color w:val="auto"/>
              </w:rPr>
            </w:pPr>
            <w:r>
              <w:rPr>
                <w:rFonts w:ascii="Arial" w:cs="Arial" w:eastAsia="Arial" w:hAnsi="Arial"/>
                <w:sz w:val="17"/>
                <w:szCs w:val="17"/>
                <w:color w:val="auto"/>
              </w:rPr>
              <w:t>Change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Accounts receivable</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23,694</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27,574</w:t>
            </w:r>
          </w:p>
        </w:tc>
        <w:tc>
          <w:tcPr>
            <w:tcW w:w="120" w:type="dxa"/>
            <w:vAlign w:val="bottom"/>
            <w:shd w:val="clear" w:color="auto" w:fill="CFF0FC"/>
          </w:tcPr>
          <w:p>
            <w:pPr>
              <w:spacing w:after="0"/>
              <w:rPr>
                <w:sz w:val="20"/>
                <w:szCs w:val="20"/>
                <w:color w:val="auto"/>
              </w:rPr>
            </w:pP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Prepaid expenses and other current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(4,536)</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(9,598)</w:t>
            </w:r>
          </w:p>
        </w:tc>
      </w:tr>
      <w:tr>
        <w:trPr>
          <w:trHeight w:val="231"/>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right-of-use assets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1,311</w:t>
            </w: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Accounts payable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(731)</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2,886</w:t>
            </w:r>
          </w:p>
        </w:tc>
        <w:tc>
          <w:tcPr>
            <w:tcW w:w="120" w:type="dxa"/>
            <w:vAlign w:val="bottom"/>
          </w:tcPr>
          <w:p>
            <w:pPr>
              <w:spacing w:after="0"/>
              <w:rPr>
                <w:sz w:val="19"/>
                <w:szCs w:val="19"/>
                <w:color w:val="auto"/>
              </w:rPr>
            </w:pP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Accrued expenses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(5,585)</w:t>
            </w: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1,259</w:t>
            </w:r>
          </w:p>
        </w:tc>
        <w:tc>
          <w:tcPr>
            <w:tcW w:w="120" w:type="dxa"/>
            <w:vAlign w:val="bottom"/>
            <w:shd w:val="clear" w:color="auto" w:fill="CFF0FC"/>
          </w:tcPr>
          <w:p>
            <w:pPr>
              <w:spacing w:after="0"/>
              <w:rPr>
                <w:sz w:val="20"/>
                <w:szCs w:val="20"/>
                <w:color w:val="auto"/>
              </w:rPr>
            </w:pPr>
          </w:p>
        </w:tc>
      </w:tr>
      <w:tr>
        <w:trPr>
          <w:trHeight w:val="227"/>
        </w:trPr>
        <w:tc>
          <w:tcPr>
            <w:tcW w:w="7720" w:type="dxa"/>
            <w:vAlign w:val="bottom"/>
          </w:tcPr>
          <w:p>
            <w:pPr>
              <w:ind w:left="740"/>
              <w:spacing w:after="0"/>
              <w:rPr>
                <w:sz w:val="20"/>
                <w:szCs w:val="20"/>
                <w:color w:val="auto"/>
              </w:rPr>
            </w:pPr>
            <w:r>
              <w:rPr>
                <w:rFonts w:ascii="Arial" w:cs="Arial" w:eastAsia="Arial" w:hAnsi="Arial"/>
                <w:sz w:val="17"/>
                <w:szCs w:val="17"/>
                <w:color w:val="auto"/>
              </w:rPr>
              <w:t>Income taxes payable</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(1,388)</w:t>
            </w:r>
          </w:p>
        </w:tc>
      </w:tr>
      <w:tr>
        <w:trPr>
          <w:trHeight w:val="232"/>
        </w:trPr>
        <w:tc>
          <w:tcPr>
            <w:tcW w:w="7720" w:type="dxa"/>
            <w:vAlign w:val="bottom"/>
            <w:shd w:val="clear" w:color="auto" w:fill="CFF0FC"/>
          </w:tcPr>
          <w:p>
            <w:pPr>
              <w:ind w:left="740"/>
              <w:spacing w:after="0"/>
              <w:rPr>
                <w:sz w:val="20"/>
                <w:szCs w:val="20"/>
                <w:color w:val="auto"/>
              </w:rPr>
            </w:pPr>
            <w:r>
              <w:rPr>
                <w:rFonts w:ascii="Arial" w:cs="Arial" w:eastAsia="Arial" w:hAnsi="Arial"/>
                <w:sz w:val="17"/>
                <w:szCs w:val="17"/>
                <w:color w:val="auto"/>
              </w:rPr>
              <w:t>Operating lease liabilities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(1,484)</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r>
        <w:trPr>
          <w:trHeight w:val="228"/>
        </w:trPr>
        <w:tc>
          <w:tcPr>
            <w:tcW w:w="7720" w:type="dxa"/>
            <w:vAlign w:val="bottom"/>
          </w:tcPr>
          <w:p>
            <w:pPr>
              <w:ind w:left="740"/>
              <w:spacing w:after="0"/>
              <w:rPr>
                <w:sz w:val="20"/>
                <w:szCs w:val="20"/>
                <w:color w:val="auto"/>
              </w:rPr>
            </w:pPr>
            <w:r>
              <w:rPr>
                <w:rFonts w:ascii="Arial" w:cs="Arial" w:eastAsia="Arial" w:hAnsi="Arial"/>
                <w:sz w:val="17"/>
                <w:szCs w:val="17"/>
                <w:color w:val="auto"/>
              </w:rPr>
              <w:t>Other long-term liabilities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(964)</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396</w:t>
            </w:r>
          </w:p>
        </w:tc>
        <w:tc>
          <w:tcPr>
            <w:tcW w:w="120" w:type="dxa"/>
            <w:vAlign w:val="bottom"/>
          </w:tcPr>
          <w:p>
            <w:pPr>
              <w:spacing w:after="0"/>
              <w:rPr>
                <w:sz w:val="19"/>
                <w:szCs w:val="19"/>
                <w:color w:val="auto"/>
              </w:rPr>
            </w:pPr>
          </w:p>
        </w:tc>
      </w:tr>
      <w:tr>
        <w:trPr>
          <w:trHeight w:val="225"/>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27,037</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60,340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8"/>
        </w:trPr>
        <w:tc>
          <w:tcPr>
            <w:tcW w:w="77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1"/>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marketable securities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w w:val="90"/>
              </w:rPr>
              <w:t>(171,884)</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(271,712)</w:t>
            </w: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maturities and sale of marketable securities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4"/>
              </w:rPr>
              <w:t>163,273</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254,994</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Purchase of property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(842)</w:t>
            </w:r>
          </w:p>
        </w:tc>
        <w:tc>
          <w:tcPr>
            <w:tcW w:w="5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(2,891)</w:t>
            </w:r>
          </w:p>
        </w:tc>
      </w:tr>
      <w:tr>
        <w:trPr>
          <w:trHeight w:val="20"/>
        </w:trPr>
        <w:tc>
          <w:tcPr>
            <w:tcW w:w="7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7"/>
                <w:szCs w:val="17"/>
                <w:color w:val="auto"/>
              </w:rPr>
              <w:t>Net cash used in investing activities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7"/>
                <w:szCs w:val="17"/>
                <w:color w:val="auto"/>
              </w:rPr>
              <w:t>(9,453)</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(19,609)</w:t>
            </w:r>
          </w:p>
        </w:tc>
      </w:tr>
      <w:tr>
        <w:trPr>
          <w:trHeight w:val="232"/>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94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Proceeds from exercise of 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7,022</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5,627</w:t>
            </w:r>
          </w:p>
        </w:tc>
        <w:tc>
          <w:tcPr>
            <w:tcW w:w="120" w:type="dxa"/>
            <w:vAlign w:val="bottom"/>
          </w:tcPr>
          <w:p>
            <w:pPr>
              <w:spacing w:after="0"/>
              <w:rPr>
                <w:sz w:val="19"/>
                <w:szCs w:val="19"/>
                <w:color w:val="auto"/>
              </w:rPr>
            </w:pPr>
          </w:p>
        </w:tc>
      </w:tr>
      <w:tr>
        <w:trPr>
          <w:trHeight w:val="231"/>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Payments for settlement of share-based awards</w:t>
            </w:r>
          </w:p>
        </w:tc>
        <w:tc>
          <w:tcPr>
            <w:tcW w:w="9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(1,498)</w:t>
            </w:r>
          </w:p>
        </w:tc>
        <w:tc>
          <w:tcPr>
            <w:tcW w:w="52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(4,188)</w:t>
            </w:r>
          </w:p>
        </w:tc>
      </w:tr>
      <w:tr>
        <w:trPr>
          <w:trHeight w:val="228"/>
        </w:trPr>
        <w:tc>
          <w:tcPr>
            <w:tcW w:w="7720" w:type="dxa"/>
            <w:vAlign w:val="bottom"/>
          </w:tcPr>
          <w:p>
            <w:pPr>
              <w:ind w:left="260"/>
              <w:spacing w:after="0"/>
              <w:rPr>
                <w:sz w:val="20"/>
                <w:szCs w:val="20"/>
                <w:color w:val="auto"/>
              </w:rPr>
            </w:pPr>
            <w:r>
              <w:rPr>
                <w:rFonts w:ascii="Arial" w:cs="Arial" w:eastAsia="Arial" w:hAnsi="Arial"/>
                <w:sz w:val="17"/>
                <w:szCs w:val="17"/>
                <w:color w:val="auto"/>
              </w:rPr>
              <w:t>Payments of capital lease obligations</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7"/>
                <w:szCs w:val="17"/>
                <w:color w:val="auto"/>
              </w:rPr>
              <w:t>(42)</w:t>
            </w:r>
          </w:p>
        </w:tc>
      </w:tr>
      <w:tr>
        <w:trPr>
          <w:trHeight w:val="225"/>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7"/>
                <w:szCs w:val="17"/>
                <w:color w:val="auto"/>
              </w:rPr>
              <w:t>Net cash provided by financing activities</w:t>
            </w: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5,524</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1,397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1"/>
        </w:trPr>
        <w:tc>
          <w:tcPr>
            <w:tcW w:w="7720" w:type="dxa"/>
            <w:vAlign w:val="bottom"/>
          </w:tcPr>
          <w:p>
            <w:pPr>
              <w:spacing w:after="0"/>
              <w:rPr>
                <w:sz w:val="20"/>
                <w:szCs w:val="20"/>
                <w:color w:val="auto"/>
              </w:rPr>
            </w:pPr>
            <w:r>
              <w:rPr>
                <w:rFonts w:ascii="Arial" w:cs="Arial" w:eastAsia="Arial" w:hAnsi="Arial"/>
                <w:sz w:val="17"/>
                <w:szCs w:val="17"/>
                <w:b w:val="1"/>
                <w:bCs w:val="1"/>
                <w:color w:val="auto"/>
              </w:rPr>
              <w:t>Net increase (decrease) in cash, cash equivalents and restricted cash</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23,108</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42,128</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7"/>
                <w:szCs w:val="17"/>
                <w:color w:val="auto"/>
              </w:rPr>
              <w:t>Cash, cash equivalents and restricted cash at beginning of period</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51,838</w:t>
            </w:r>
          </w:p>
        </w:tc>
        <w:tc>
          <w:tcPr>
            <w:tcW w:w="28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64,510</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Cash, cash equivalents and restricted cash at end of period</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74,946</w:t>
            </w:r>
          </w:p>
        </w:tc>
        <w:tc>
          <w:tcPr>
            <w:tcW w:w="28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106,638</w:t>
            </w:r>
          </w:p>
        </w:tc>
        <w:tc>
          <w:tcPr>
            <w:tcW w:w="120" w:type="dxa"/>
            <w:vAlign w:val="bottom"/>
            <w:tcBorders>
              <w:bottom w:val="single" w:sz="8" w:color="CFF0FC"/>
            </w:tcBorders>
          </w:tcPr>
          <w:p>
            <w:pPr>
              <w:spacing w:after="0"/>
              <w:rPr>
                <w:sz w:val="22"/>
                <w:szCs w:val="22"/>
                <w:color w:val="auto"/>
              </w:rPr>
            </w:pPr>
          </w:p>
        </w:tc>
      </w:tr>
      <w:tr>
        <w:trPr>
          <w:trHeight w:val="212"/>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9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7"/>
                <w:szCs w:val="17"/>
                <w:color w:val="auto"/>
              </w:rPr>
              <w:t>Cash paid for income taxes</w:t>
            </w:r>
          </w:p>
        </w:tc>
        <w:tc>
          <w:tcPr>
            <w:tcW w:w="940" w:type="dxa"/>
            <w:vAlign w:val="bottom"/>
          </w:tcPr>
          <w:p>
            <w:pPr>
              <w:jc w:val="right"/>
              <w:ind w:right="756"/>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9,955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Supplemental disclosure of non-cash investing information: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6"/>
        </w:trPr>
        <w:tc>
          <w:tcPr>
            <w:tcW w:w="7720" w:type="dxa"/>
            <w:vAlign w:val="bottom"/>
          </w:tcPr>
          <w:p>
            <w:pPr>
              <w:ind w:left="260"/>
              <w:spacing w:after="0"/>
              <w:rPr>
                <w:sz w:val="20"/>
                <w:szCs w:val="20"/>
                <w:color w:val="auto"/>
              </w:rPr>
            </w:pPr>
            <w:r>
              <w:rPr>
                <w:rFonts w:ascii="Arial" w:cs="Arial" w:eastAsia="Arial" w:hAnsi="Arial"/>
                <w:sz w:val="17"/>
                <w:szCs w:val="17"/>
                <w:color w:val="auto"/>
              </w:rPr>
              <w:t>Purchases of fixed assets included in accounts payable and accrued expenses</w:t>
            </w:r>
          </w:p>
        </w:tc>
        <w:tc>
          <w:tcPr>
            <w:tcW w:w="940" w:type="dxa"/>
            <w:vAlign w:val="bottom"/>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109</w:t>
            </w:r>
          </w:p>
        </w:tc>
        <w:tc>
          <w:tcPr>
            <w:tcW w:w="280" w:type="dxa"/>
            <w:vAlign w:val="bottom"/>
          </w:tcPr>
          <w:p>
            <w:pPr>
              <w:spacing w:after="0"/>
              <w:rPr>
                <w:sz w:val="18"/>
                <w:szCs w:val="18"/>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1,598</w:t>
            </w:r>
          </w:p>
        </w:tc>
        <w:tc>
          <w:tcPr>
            <w:tcW w:w="120" w:type="dxa"/>
            <w:vAlign w:val="bottom"/>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Operating lease liabilities arising from obtaining right-of-use assets</w:t>
            </w:r>
          </w:p>
        </w:tc>
        <w:tc>
          <w:tcPr>
            <w:tcW w:w="940" w:type="dxa"/>
            <w:vAlign w:val="bottom"/>
            <w:shd w:val="clear" w:color="auto" w:fill="CFF0FC"/>
          </w:tcPr>
          <w:p>
            <w:pPr>
              <w:jc w:val="right"/>
              <w:ind w:right="756"/>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1,997</w:t>
            </w: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5"/>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15"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Enanta Pharmaceuticals, Inc. (the “Company”), incorporated in Delaware in 1995, is a biotechnology company that uses its robust, chemistry-driven approach and drug discovery capabilities to create small molecule drugs for the treatment of viral infections and liver diseases. The Company discovered glecaprevir, the second protease inhibitor discovered and developed through its collaboration with AbbVie for the treatment of chronic hepatitis C virus, or HCV. Glecaprevir is co-formulated as part of AbbVie’s leading brand of direct-acting antiviral (DAA) combination treatment for HCV, which is marketed under the tradenames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(glecaprevir/pibrentasvir). Royalties from the Company’s AbbVie collaboration and its existing financial resources provide funding to support the Company’s wholly-owned research and development programs, which are primarily focused on the following disease targets: respiratory syncytial virus (“RSV”), non-alcoholic steatohepatitis (“NASH”), hepatitis B virus (“HBV”), human metapneumovirus (hMPV), and SARS-CoV-2 (COVID-19).</w:t>
      </w:r>
    </w:p>
    <w:p>
      <w:pPr>
        <w:spacing w:after="0" w:line="17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March 2020, the World Health Organization declared COVID-19 a global pandemic and countries worldwide implemented various measures to contain the spread of the virus.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The extent and severity of the impact on the Company’s business and clinical trials will be determined largely by the extent there are disruptions in the supply chains for its research and product candidates, delays in the conduct of current and future clinical trials, or reductions in the number of patients accessing AbbVie’s HCV regimens, or any combination of those events. In the three months ended March 31, 2020 and through the date of issuance of these financial statements, the Company’s consolidated financial position, results of operations and cash flows have not been materially impacted by the COVID-19 pandemic.</w:t>
      </w:r>
    </w:p>
    <w:p>
      <w:pPr>
        <w:spacing w:after="0" w:line="178"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full extent to which the COVID-19 pandemic will directly or indirectly impact the Company’s business, results of operations and financial condition will depend on future developments that are highly uncertain and cannot be accurately predicted, including new information that may emerge concerning COVID-19 and public health actions taken to contain it, as well as the cumulative economic impact of both of those factors.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consolidated balance sheet at September 30, 2019 was derived from audited financial statements, but does not include all disclosures required by accounting principles generally accepted in the United States of America (“GAAP”). The accompanying unaudited consolidated financial statements as of March 31, 2020 and for the six months ended March 31, 2020 and 2019 have been prepared by the Company pursuant to the rules and regulations of the Securities and Exchange Commission (“SEC”) for interim financial statements. Certain information and footnote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included in the Company’s Annual Report on Form 10-K for the year ended September 30, 2019.</w:t>
      </w:r>
    </w:p>
    <w:p>
      <w:pPr>
        <w:spacing w:after="0" w:line="19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In the opinion of management, all adjustments, consisting of normal recurring adjustments necessary for a fair statement of the Company’s financial position as of March 31, 2020 and results of operations for the three and six months ended March 31, 2020 and 2019 and cash flows for the six months ended March 31, 2020 and 2019, have been made. The results of operations for the three and six months ended March 31, 2020 are not necessarily indicative of the results of operations that may be expected for subsequent quarters or the year ending September 30, 2020.</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0"/>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conformity with GAAP. All amounts in the consolidated financial statements and in the notes to the consolidated financial statements, except per share amounts, are in thousands unless otherwise indicated.</w:t>
      </w:r>
    </w:p>
    <w:p>
      <w:pPr>
        <w:spacing w:after="0" w:line="25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For the Company’s Significant Accounting Policies, please refer to its Annual Report on Form 10-K for the fiscal year ended September 30, 2019. Any reference in these notes to applicable guidance is meant to refer to the authoritative GAAP as found in the Accounting Standards Codification (“ASC”) and Accounting Standards Update (“ASU”) of the Financial Accounting Standards Board (“FASB”). Other than the adoption of ASC 842 as of October 1, 2019, there were no other significant changes to the Company’s Significant Accounting Policies during the quarter.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and other facts. The future developments of the COVID-19 pandemic which may directly or indirectly impact the Company’s business include quarantines, border closures, increased border controls, travel restrictions, shelter-in-place orders and shutdowns, business closures, cancellations of public gatherings and other measures. The Company has made estimates of the impact of COVID-19 in the Company’s consolidated financial statements as of March 31, 2020. Actual results could differ from the Company’s estimates.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 adopted ASU No. 2016-02, Leases (Topic 842), as of October 1, 2019, using the modified retrospective method under ASU No. 2018-11, Leases (Topic 842): Targeted Improvements. The transition method allows entities to apply the transition requirements at the effective date rather than at the beginning of the earliest comparative period presented. The Company’s reporting for comparative periods is presented in accordance with ASC 840, Leases. Adoption of the new standard resulted in the recording of right of use (“ROU”) assets and lease liabilities of $7,151 and $8,622, respectively. The adoption of the standard did not have a material impact on the Company’s results of operations or cash flows. The Company elected to use the transition package of three practical expedients, which among other things, allowed the Company to carry forward the historical lease classification. The Company has elected, under Topic 842, the further practical expedient not to separate non-lease components from the lease components to which they relate and instead to combine them and account for them as a single lease component. The Company also elected the accounting policy election to keep leases with a term of twelve months or less off the balance sheet and to recognize payments for those leases on a straight-line basis over the lease term.</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ROU assets represent the Company’s right to use an underlying asset for the lease term, and lease liabilities represent the Company’s obligation to make lease payments arising from the lease. At the inception of the arrangement, the Company determines if an arrangement is a lease based on an assessment of the terms and conditions of the contract. Operating lease ROU assets and lease liabilities are recognized at the commencement date, and thereafter, if modified, based on the present value of lease payments over the lease term. The lease term includes any renewal or early-termination options that the Company is reasonably assured to exercise. The present value of lease payments is determined by using the interest rate implicit in the lease, if that rate is readily determinable; otherwise, the Company uses its estimated secured incremental borrowing rate for that lease term. The underlying assets of the Company’s leases as of the adoption date consisted of office and laboratory space.</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In March 2017, the FASB issued ASU No. 2017-08, </w:t>
      </w:r>
      <w:r>
        <w:rPr>
          <w:rFonts w:ascii="Arial" w:cs="Arial" w:eastAsia="Arial" w:hAnsi="Arial"/>
          <w:sz w:val="18"/>
          <w:szCs w:val="18"/>
          <w:i w:val="1"/>
          <w:iCs w:val="1"/>
          <w:color w:val="auto"/>
        </w:rPr>
        <w:t>Receivables—Nonrefundable Fees and Other Costs (Subtopic 310-20): Premium Amortization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Purchased Callable Debt Securities </w:t>
      </w:r>
      <w:r>
        <w:rPr>
          <w:rFonts w:ascii="Arial" w:cs="Arial" w:eastAsia="Arial" w:hAnsi="Arial"/>
          <w:sz w:val="18"/>
          <w:szCs w:val="18"/>
          <w:color w:val="auto"/>
        </w:rPr>
        <w:t>(“ASU 2017-08”) which requires companies to amend the amortization period for premiums on debt securities with</w:t>
      </w:r>
      <w:r>
        <w:rPr>
          <w:rFonts w:ascii="Arial" w:cs="Arial" w:eastAsia="Arial" w:hAnsi="Arial"/>
          <w:sz w:val="18"/>
          <w:szCs w:val="18"/>
          <w:i w:val="1"/>
          <w:iCs w:val="1"/>
          <w:color w:val="auto"/>
        </w:rPr>
        <w:t xml:space="preserve"> </w:t>
      </w:r>
      <w:r>
        <w:rPr>
          <w:rFonts w:ascii="Arial" w:cs="Arial" w:eastAsia="Arial" w:hAnsi="Arial"/>
          <w:sz w:val="18"/>
          <w:szCs w:val="18"/>
          <w:color w:val="auto"/>
        </w:rPr>
        <w:t>explicit call features to be the period through the earliest call date rather than through the contractual life of the debt instrument. This amendment aims to more closely align the recognition of interest income with the manner in which market participants price such instruments. The Company adopted the new standard on the effective date of October 1, 2019. The adoption of the standard did not have a material impact on the Company’s financial position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standard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amendment is effective for the Company in the fiscal year beginning October 1, 2021; however, early adoption is permitted. The Company is currently in the process of evaluating the impact that ASU 2019-12 may have on its consolidated financial statements.</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74"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22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March 31, 2020 and September 30, 2019, and indicate the fair value hierarchy of the valuation inputs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3"/>
              </w:rPr>
              <w:t>Fair Value Measurements at March 31, 2020 Using:</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Level 2</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55"/>
        </w:trPr>
        <w:tc>
          <w:tcPr>
            <w:tcW w:w="58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equivalents: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3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69,304</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69,304</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168,191</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45,876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2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146,949</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146,949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424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237,495</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192,825</w:t>
            </w:r>
          </w:p>
        </w:tc>
        <w:tc>
          <w:tcPr>
            <w:tcW w:w="22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430,320</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r>
      <w:tr>
        <w:trPr>
          <w:trHeight w:val="210"/>
        </w:trPr>
        <w:tc>
          <w:tcPr>
            <w:tcW w:w="580" w:type="dxa"/>
            <w:vAlign w:val="bottom"/>
          </w:tcPr>
          <w:p>
            <w:pPr>
              <w:spacing w:after="0"/>
              <w:rPr>
                <w:sz w:val="18"/>
                <w:szCs w:val="18"/>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72"/>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tbl>
      <w:tblPr>
        <w:tblLayout w:type="fixed"/>
        <w:tblInd w:w="58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460" w:type="dxa"/>
            <w:vAlign w:val="bottom"/>
            <w:tcBorders>
              <w:bottom w:val="single" w:sz="8" w:color="auto"/>
            </w:tcBorders>
            <w:gridSpan w:val="9"/>
          </w:tcPr>
          <w:p>
            <w:pPr>
              <w:jc w:val="right"/>
              <w:ind w:right="90"/>
              <w:spacing w:after="0"/>
              <w:rPr>
                <w:sz w:val="20"/>
                <w:szCs w:val="20"/>
                <w:color w:val="auto"/>
              </w:rPr>
            </w:pPr>
            <w:r>
              <w:rPr>
                <w:rFonts w:ascii="Arial" w:cs="Arial" w:eastAsia="Arial" w:hAnsi="Arial"/>
                <w:sz w:val="14"/>
                <w:szCs w:val="14"/>
                <w:b w:val="1"/>
                <w:bCs w:val="1"/>
                <w:color w:val="auto"/>
              </w:rPr>
              <w:t>Fair Value Measurements at September 30, 2019 Using:</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3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1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Level 2</w:t>
            </w:r>
          </w:p>
        </w:tc>
        <w:tc>
          <w:tcPr>
            <w:tcW w:w="2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155"/>
        </w:trPr>
        <w:tc>
          <w:tcPr>
            <w:tcW w:w="4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3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80" w:type="dxa"/>
            <w:vAlign w:val="bottom"/>
            <w:shd w:val="clear" w:color="auto" w:fill="CFF2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90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300" w:type="dxa"/>
            <w:vAlign w:val="bottom"/>
            <w:shd w:val="clear" w:color="auto" w:fill="CFF2FC"/>
          </w:tcPr>
          <w:p>
            <w:pPr>
              <w:spacing w:after="0"/>
              <w:rPr>
                <w:sz w:val="19"/>
                <w:szCs w:val="19"/>
                <w:color w:val="auto"/>
              </w:rPr>
            </w:pPr>
          </w:p>
        </w:tc>
        <w:tc>
          <w:tcPr>
            <w:tcW w:w="940" w:type="dxa"/>
            <w:vAlign w:val="bottom"/>
            <w:shd w:val="clear" w:color="auto" w:fill="CFF2FC"/>
          </w:tcPr>
          <w:p>
            <w:pPr>
              <w:spacing w:after="0"/>
              <w:rPr>
                <w:sz w:val="19"/>
                <w:szCs w:val="19"/>
                <w:color w:val="auto"/>
              </w:rPr>
            </w:pPr>
          </w:p>
        </w:tc>
        <w:tc>
          <w:tcPr>
            <w:tcW w:w="120" w:type="dxa"/>
            <w:vAlign w:val="bottom"/>
            <w:shd w:val="clear" w:color="auto" w:fill="CFF2FC"/>
          </w:tcPr>
          <w:p>
            <w:pPr>
              <w:spacing w:after="0"/>
              <w:rPr>
                <w:sz w:val="19"/>
                <w:szCs w:val="19"/>
                <w:color w:val="auto"/>
              </w:rPr>
            </w:pPr>
          </w:p>
        </w:tc>
      </w:tr>
      <w:tr>
        <w:trPr>
          <w:trHeight w:val="229"/>
        </w:trPr>
        <w:tc>
          <w:tcPr>
            <w:tcW w:w="4340" w:type="dxa"/>
            <w:vAlign w:val="bottom"/>
          </w:tcPr>
          <w:p>
            <w:pPr>
              <w:spacing w:after="0"/>
              <w:rPr>
                <w:sz w:val="20"/>
                <w:szCs w:val="20"/>
                <w:color w:val="auto"/>
              </w:rPr>
            </w:pPr>
            <w:r>
              <w:rPr>
                <w:rFonts w:ascii="Arial" w:cs="Arial" w:eastAsia="Arial" w:hAnsi="Arial"/>
                <w:sz w:val="18"/>
                <w:szCs w:val="18"/>
                <w:color w:val="auto"/>
              </w:rPr>
              <w:t>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FF2FC"/>
          </w:tcPr>
          <w:p>
            <w:pPr>
              <w:jc w:val="right"/>
              <w:ind w:right="18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44,569</w:t>
            </w:r>
          </w:p>
        </w:tc>
        <w:tc>
          <w:tcPr>
            <w:tcW w:w="120" w:type="dxa"/>
            <w:vAlign w:val="bottom"/>
            <w:shd w:val="clear" w:color="auto" w:fill="CFF2FC"/>
          </w:tcPr>
          <w:p>
            <w:pPr>
              <w:spacing w:after="0"/>
              <w:rPr>
                <w:sz w:val="19"/>
                <w:szCs w:val="19"/>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3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U.S. Treasury notes</w:t>
            </w:r>
          </w:p>
        </w:tc>
        <w:tc>
          <w:tcPr>
            <w:tcW w:w="240" w:type="dxa"/>
            <w:vAlign w:val="bottom"/>
            <w:shd w:val="clear" w:color="auto" w:fill="CFF2FC"/>
          </w:tcPr>
          <w:p>
            <w:pPr>
              <w:spacing w:after="0"/>
              <w:rPr>
                <w:sz w:val="19"/>
                <w:szCs w:val="19"/>
                <w:color w:val="auto"/>
              </w:rPr>
            </w:pPr>
          </w:p>
        </w:tc>
        <w:tc>
          <w:tcPr>
            <w:tcW w:w="10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22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2FC"/>
          </w:tcPr>
          <w:p>
            <w:pPr>
              <w:spacing w:after="0"/>
              <w:rPr>
                <w:sz w:val="19"/>
                <w:szCs w:val="19"/>
                <w:color w:val="auto"/>
              </w:rPr>
            </w:pP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170,515</w:t>
            </w:r>
          </w:p>
        </w:tc>
        <w:tc>
          <w:tcPr>
            <w:tcW w:w="120" w:type="dxa"/>
            <w:vAlign w:val="bottom"/>
            <w:shd w:val="clear" w:color="auto" w:fill="CFF2FC"/>
          </w:tcPr>
          <w:p>
            <w:pPr>
              <w:spacing w:after="0"/>
              <w:rPr>
                <w:sz w:val="19"/>
                <w:szCs w:val="19"/>
                <w:color w:val="auto"/>
              </w:rPr>
            </w:pPr>
          </w:p>
        </w:tc>
      </w:tr>
      <w:tr>
        <w:trPr>
          <w:trHeight w:val="230"/>
        </w:trPr>
        <w:tc>
          <w:tcPr>
            <w:tcW w:w="4340" w:type="dxa"/>
            <w:vAlign w:val="bottom"/>
          </w:tcPr>
          <w:p>
            <w:pPr>
              <w:ind w:left="120"/>
              <w:spacing w:after="0"/>
              <w:rPr>
                <w:sz w:val="20"/>
                <w:szCs w:val="20"/>
                <w:color w:val="auto"/>
              </w:rPr>
            </w:pPr>
            <w:r>
              <w:rPr>
                <w:rFonts w:ascii="Arial" w:cs="Arial" w:eastAsia="Arial" w:hAnsi="Arial"/>
                <w:sz w:val="18"/>
                <w:szCs w:val="18"/>
                <w:color w:val="auto"/>
              </w:rPr>
              <w:t>Corporate bonds</w:t>
            </w:r>
          </w:p>
        </w:tc>
        <w:tc>
          <w:tcPr>
            <w:tcW w:w="24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111,837</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111,837</w:t>
            </w:r>
          </w:p>
        </w:tc>
        <w:tc>
          <w:tcPr>
            <w:tcW w:w="120" w:type="dxa"/>
            <w:vAlign w:val="bottom"/>
          </w:tcPr>
          <w:p>
            <w:pPr>
              <w:spacing w:after="0"/>
              <w:rPr>
                <w:sz w:val="19"/>
                <w:szCs w:val="19"/>
                <w:color w:val="auto"/>
              </w:rPr>
            </w:pPr>
          </w:p>
        </w:tc>
      </w:tr>
      <w:tr>
        <w:trPr>
          <w:trHeight w:val="229"/>
        </w:trPr>
        <w:tc>
          <w:tcPr>
            <w:tcW w:w="4340" w:type="dxa"/>
            <w:vAlign w:val="bottom"/>
            <w:shd w:val="clear" w:color="auto" w:fill="CFF2FC"/>
          </w:tcPr>
          <w:p>
            <w:pPr>
              <w:ind w:left="120"/>
              <w:spacing w:after="0"/>
              <w:rPr>
                <w:sz w:val="20"/>
                <w:szCs w:val="20"/>
                <w:color w:val="auto"/>
              </w:rPr>
            </w:pPr>
            <w:r>
              <w:rPr>
                <w:rFonts w:ascii="Arial" w:cs="Arial" w:eastAsia="Arial" w:hAnsi="Arial"/>
                <w:sz w:val="18"/>
                <w:szCs w:val="18"/>
                <w:color w:val="auto"/>
              </w:rPr>
              <w:t>Commercial paper</w:t>
            </w:r>
          </w:p>
        </w:tc>
        <w:tc>
          <w:tcPr>
            <w:tcW w:w="240" w:type="dxa"/>
            <w:vAlign w:val="bottom"/>
            <w:shd w:val="clear" w:color="auto" w:fill="CFF2FC"/>
          </w:tcPr>
          <w:p>
            <w:pPr>
              <w:spacing w:after="0"/>
              <w:rPr>
                <w:sz w:val="19"/>
                <w:szCs w:val="19"/>
                <w:color w:val="auto"/>
              </w:rPr>
            </w:pPr>
          </w:p>
        </w:tc>
        <w:tc>
          <w:tcPr>
            <w:tcW w:w="12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2FC"/>
          </w:tcPr>
          <w:p>
            <w:pPr>
              <w:spacing w:after="0"/>
              <w:rPr>
                <w:sz w:val="19"/>
                <w:szCs w:val="19"/>
                <w:color w:val="auto"/>
              </w:rPr>
            </w:pPr>
          </w:p>
        </w:tc>
        <w:tc>
          <w:tcPr>
            <w:tcW w:w="9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260" w:type="dxa"/>
            <w:vAlign w:val="bottom"/>
            <w:shd w:val="clear" w:color="auto" w:fill="CFF2FC"/>
          </w:tcPr>
          <w:p>
            <w:pPr>
              <w:spacing w:after="0"/>
              <w:rPr>
                <w:sz w:val="19"/>
                <w:szCs w:val="19"/>
                <w:color w:val="auto"/>
              </w:rPr>
            </w:pPr>
          </w:p>
        </w:tc>
        <w:tc>
          <w:tcPr>
            <w:tcW w:w="340" w:type="dxa"/>
            <w:vAlign w:val="bottom"/>
            <w:shd w:val="clear" w:color="auto" w:fill="CFF2FC"/>
          </w:tcPr>
          <w:p>
            <w:pPr>
              <w:spacing w:after="0"/>
              <w:rPr>
                <w:sz w:val="19"/>
                <w:szCs w:val="19"/>
                <w:color w:val="auto"/>
              </w:rPr>
            </w:pPr>
          </w:p>
        </w:tc>
        <w:tc>
          <w:tcPr>
            <w:tcW w:w="1120" w:type="dxa"/>
            <w:vAlign w:val="bottom"/>
            <w:gridSpan w:val="2"/>
            <w:shd w:val="clear" w:color="auto" w:fill="CFF2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2FC"/>
          </w:tcPr>
          <w:p>
            <w:pPr>
              <w:spacing w:after="0"/>
              <w:rPr>
                <w:sz w:val="19"/>
                <w:szCs w:val="19"/>
                <w:color w:val="auto"/>
              </w:rPr>
            </w:pPr>
          </w:p>
        </w:tc>
        <w:tc>
          <w:tcPr>
            <w:tcW w:w="94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66,667</w:t>
            </w:r>
          </w:p>
        </w:tc>
        <w:tc>
          <w:tcPr>
            <w:tcW w:w="120" w:type="dxa"/>
            <w:vAlign w:val="bottom"/>
            <w:shd w:val="clear" w:color="auto" w:fill="CFF2FC"/>
          </w:tcPr>
          <w:p>
            <w:pPr>
              <w:spacing w:after="0"/>
              <w:rPr>
                <w:sz w:val="19"/>
                <w:szCs w:val="19"/>
                <w:color w:val="auto"/>
              </w:rPr>
            </w:pPr>
          </w:p>
        </w:tc>
      </w:tr>
      <w:tr>
        <w:trPr>
          <w:trHeight w:val="263"/>
        </w:trPr>
        <w:tc>
          <w:tcPr>
            <w:tcW w:w="4340" w:type="dxa"/>
            <w:vAlign w:val="bottom"/>
            <w:tcBorders>
              <w:bottom w:val="single" w:sz="8" w:color="CFF2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215,084</w:t>
            </w:r>
          </w:p>
        </w:tc>
        <w:tc>
          <w:tcPr>
            <w:tcW w:w="220" w:type="dxa"/>
            <w:vAlign w:val="bottom"/>
            <w:tcBorders>
              <w:bottom w:val="single" w:sz="8" w:color="CFF2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178,504</w:t>
            </w:r>
          </w:p>
        </w:tc>
        <w:tc>
          <w:tcPr>
            <w:tcW w:w="260" w:type="dxa"/>
            <w:vAlign w:val="bottom"/>
            <w:tcBorders>
              <w:bottom w:val="single" w:sz="8" w:color="CFF2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2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393,588</w:t>
            </w:r>
          </w:p>
        </w:tc>
        <w:tc>
          <w:tcPr>
            <w:tcW w:w="120" w:type="dxa"/>
            <w:vAlign w:val="bottom"/>
            <w:tcBorders>
              <w:bottom w:val="single" w:sz="8" w:color="CFF2FC"/>
            </w:tcBorders>
          </w:tcPr>
          <w:p>
            <w:pPr>
              <w:spacing w:after="0"/>
              <w:rPr>
                <w:sz w:val="22"/>
                <w:szCs w:val="22"/>
                <w:color w:val="auto"/>
              </w:rPr>
            </w:pPr>
          </w:p>
        </w:tc>
      </w:tr>
      <w:tr>
        <w:trPr>
          <w:trHeight w:val="210"/>
        </w:trPr>
        <w:tc>
          <w:tcPr>
            <w:tcW w:w="4340" w:type="dxa"/>
            <w:vAlign w:val="bottom"/>
            <w:shd w:val="clear" w:color="auto" w:fill="CFF2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2FC"/>
          </w:tcPr>
          <w:p>
            <w:pPr>
              <w:spacing w:after="0"/>
              <w:rPr>
                <w:sz w:val="18"/>
                <w:szCs w:val="18"/>
                <w:color w:val="auto"/>
              </w:rPr>
            </w:pPr>
          </w:p>
        </w:tc>
        <w:tc>
          <w:tcPr>
            <w:tcW w:w="100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980" w:type="dxa"/>
            <w:vAlign w:val="bottom"/>
            <w:shd w:val="clear" w:color="auto" w:fill="CFF2FC"/>
          </w:tcPr>
          <w:p>
            <w:pPr>
              <w:spacing w:after="0"/>
              <w:rPr>
                <w:sz w:val="18"/>
                <w:szCs w:val="18"/>
                <w:color w:val="auto"/>
              </w:rPr>
            </w:pPr>
          </w:p>
        </w:tc>
        <w:tc>
          <w:tcPr>
            <w:tcW w:w="260" w:type="dxa"/>
            <w:vAlign w:val="bottom"/>
            <w:shd w:val="clear" w:color="auto" w:fill="CFF2FC"/>
          </w:tcPr>
          <w:p>
            <w:pPr>
              <w:spacing w:after="0"/>
              <w:rPr>
                <w:sz w:val="18"/>
                <w:szCs w:val="18"/>
                <w:color w:val="auto"/>
              </w:rPr>
            </w:pPr>
          </w:p>
        </w:tc>
        <w:tc>
          <w:tcPr>
            <w:tcW w:w="340" w:type="dxa"/>
            <w:vAlign w:val="bottom"/>
            <w:shd w:val="clear" w:color="auto" w:fill="CFF2FC"/>
          </w:tcPr>
          <w:p>
            <w:pPr>
              <w:spacing w:after="0"/>
              <w:rPr>
                <w:sz w:val="18"/>
                <w:szCs w:val="18"/>
                <w:color w:val="auto"/>
              </w:rPr>
            </w:pPr>
          </w:p>
        </w:tc>
        <w:tc>
          <w:tcPr>
            <w:tcW w:w="90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300" w:type="dxa"/>
            <w:vAlign w:val="bottom"/>
            <w:shd w:val="clear" w:color="auto" w:fill="CFF2FC"/>
          </w:tcPr>
          <w:p>
            <w:pPr>
              <w:spacing w:after="0"/>
              <w:rPr>
                <w:sz w:val="18"/>
                <w:szCs w:val="18"/>
                <w:color w:val="auto"/>
              </w:rPr>
            </w:pPr>
          </w:p>
        </w:tc>
        <w:tc>
          <w:tcPr>
            <w:tcW w:w="940" w:type="dxa"/>
            <w:vAlign w:val="bottom"/>
            <w:shd w:val="clear" w:color="auto" w:fill="CFF2FC"/>
          </w:tcPr>
          <w:p>
            <w:pPr>
              <w:spacing w:after="0"/>
              <w:rPr>
                <w:sz w:val="18"/>
                <w:szCs w:val="18"/>
                <w:color w:val="auto"/>
              </w:rPr>
            </w:pPr>
          </w:p>
        </w:tc>
        <w:tc>
          <w:tcPr>
            <w:tcW w:w="120" w:type="dxa"/>
            <w:vAlign w:val="bottom"/>
            <w:shd w:val="clear" w:color="auto" w:fill="CFF2FC"/>
          </w:tcPr>
          <w:p>
            <w:pPr>
              <w:spacing w:after="0"/>
              <w:rPr>
                <w:sz w:val="18"/>
                <w:szCs w:val="18"/>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Series 1 nonconvertible preferred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9"/>
                <w:szCs w:val="19"/>
                <w:color w:val="auto"/>
              </w:rPr>
            </w:pPr>
          </w:p>
        </w:tc>
      </w:tr>
      <w:tr>
        <w:trPr>
          <w:trHeight w:val="223"/>
        </w:trPr>
        <w:tc>
          <w:tcPr>
            <w:tcW w:w="434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240" w:type="dxa"/>
            <w:vAlign w:val="bottom"/>
            <w:tcBorders>
              <w:top w:val="single" w:sz="8" w:color="auto"/>
              <w:bottom w:val="single" w:sz="8" w:color="auto"/>
            </w:tcBorders>
            <w:shd w:val="clear" w:color="auto" w:fill="CFF2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FF2FC"/>
              <w:bottom w:val="single" w:sz="8" w:color="CFF2FC"/>
            </w:tcBorders>
            <w:shd w:val="clear" w:color="auto" w:fill="CFF2FC"/>
          </w:tcPr>
          <w:p>
            <w:pPr>
              <w:spacing w:after="0"/>
              <w:rPr>
                <w:sz w:val="19"/>
                <w:szCs w:val="19"/>
                <w:color w:val="auto"/>
              </w:rPr>
            </w:pPr>
          </w:p>
        </w:tc>
        <w:tc>
          <w:tcPr>
            <w:tcW w:w="340" w:type="dxa"/>
            <w:vAlign w:val="bottom"/>
            <w:tcBorders>
              <w:top w:val="single" w:sz="8" w:color="auto"/>
              <w:bottom w:val="single" w:sz="8" w:color="auto"/>
            </w:tcBorders>
            <w:shd w:val="clear" w:color="auto" w:fill="CFF2FC"/>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220" w:type="dxa"/>
            <w:vAlign w:val="bottom"/>
            <w:tcBorders>
              <w:top w:val="single" w:sz="8" w:color="CFF2FC"/>
              <w:bottom w:val="single" w:sz="8" w:color="CFF2FC"/>
            </w:tcBorders>
            <w:shd w:val="clear" w:color="auto" w:fill="CFF2FC"/>
          </w:tcPr>
          <w:p>
            <w:pPr>
              <w:spacing w:after="0"/>
              <w:rPr>
                <w:sz w:val="19"/>
                <w:szCs w:val="19"/>
                <w:color w:val="auto"/>
              </w:rPr>
            </w:pPr>
          </w:p>
        </w:tc>
        <w:tc>
          <w:tcPr>
            <w:tcW w:w="300" w:type="dxa"/>
            <w:vAlign w:val="bottom"/>
            <w:tcBorders>
              <w:top w:val="single" w:sz="8" w:color="auto"/>
              <w:bottom w:val="single" w:sz="8" w:color="auto"/>
            </w:tcBorders>
            <w:shd w:val="clear" w:color="auto" w:fill="CFF2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Borders>
              <w:top w:val="single" w:sz="8" w:color="CFF2FC"/>
              <w:bottom w:val="single" w:sz="8" w:color="CFF2FC"/>
            </w:tcBorders>
            <w:shd w:val="clear" w:color="auto" w:fill="CFF2FC"/>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March 31, 2020 and 2019, there were no transfers between Level 1, Level 2 and Level 3.</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The outstanding shares of Series 1 nonconvertible preferred stock are measured at fair value. The fair value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 of the Series 1 nonconvertible preferred stock are recognized in other income (expense), net in the consolidated statements of operations.</w:t>
      </w:r>
    </w:p>
    <w:p>
      <w:pPr>
        <w:spacing w:after="0" w:line="15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recurring Level 3 fair value measurements of the Company’s outstanding Series 1 nonconvertible preferred stock using probability-weighted discounted cash flow include the following significant unobservable inputs:</w:t>
      </w:r>
    </w:p>
    <w:p>
      <w:pPr>
        <w:spacing w:after="0" w:line="256"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1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Range (Weighted Average)</w:t>
            </w:r>
          </w:p>
        </w:tc>
      </w:tr>
      <w:tr>
        <w:trPr>
          <w:trHeight w:val="252"/>
        </w:trPr>
        <w:tc>
          <w:tcPr>
            <w:tcW w:w="4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40" w:type="dxa"/>
            <w:vAlign w:val="bottom"/>
            <w:gridSpan w:val="2"/>
          </w:tcPr>
          <w:p>
            <w:pPr>
              <w:ind w:left="720"/>
              <w:spacing w:after="0"/>
              <w:rPr>
                <w:sz w:val="20"/>
                <w:szCs w:val="20"/>
                <w:color w:val="auto"/>
              </w:rPr>
            </w:pPr>
            <w:r>
              <w:rPr>
                <w:rFonts w:ascii="Arial" w:cs="Arial" w:eastAsia="Arial" w:hAnsi="Arial"/>
                <w:sz w:val="14"/>
                <w:szCs w:val="14"/>
                <w:b w:val="1"/>
                <w:bCs w:val="1"/>
                <w:color w:val="auto"/>
              </w:rPr>
              <w:t>March 31,</w:t>
            </w:r>
          </w:p>
        </w:tc>
        <w:tc>
          <w:tcPr>
            <w:tcW w:w="1760" w:type="dxa"/>
            <w:vAlign w:val="bottom"/>
          </w:tcPr>
          <w:p>
            <w:pPr>
              <w:ind w:left="420"/>
              <w:spacing w:after="0"/>
              <w:rPr>
                <w:sz w:val="20"/>
                <w:szCs w:val="20"/>
                <w:color w:val="auto"/>
              </w:rPr>
            </w:pPr>
            <w:r>
              <w:rPr>
                <w:rFonts w:ascii="Arial" w:cs="Arial" w:eastAsia="Arial" w:hAnsi="Arial"/>
                <w:sz w:val="14"/>
                <w:szCs w:val="14"/>
                <w:b w:val="1"/>
                <w:bCs w:val="1"/>
                <w:color w:val="auto"/>
              </w:rPr>
              <w:t>September 30,</w:t>
            </w:r>
          </w:p>
        </w:tc>
      </w:tr>
      <w:tr>
        <w:trPr>
          <w:trHeight w:val="201"/>
        </w:trPr>
        <w:tc>
          <w:tcPr>
            <w:tcW w:w="4880" w:type="dxa"/>
            <w:vAlign w:val="bottom"/>
            <w:gridSpan w:val="2"/>
          </w:tcPr>
          <w:p>
            <w:pPr>
              <w:ind w:left="1700"/>
              <w:spacing w:after="0"/>
              <w:rPr>
                <w:sz w:val="20"/>
                <w:szCs w:val="20"/>
                <w:color w:val="auto"/>
              </w:rPr>
            </w:pPr>
            <w:r>
              <w:rPr>
                <w:rFonts w:ascii="Arial" w:cs="Arial" w:eastAsia="Arial" w:hAnsi="Arial"/>
                <w:sz w:val="14"/>
                <w:szCs w:val="14"/>
                <w:b w:val="1"/>
                <w:bCs w:val="1"/>
                <w:color w:val="auto"/>
              </w:rPr>
              <w:t>Unobservable Input</w:t>
            </w: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Probabilities of payout</w:t>
            </w:r>
          </w:p>
        </w:tc>
        <w:tc>
          <w:tcPr>
            <w:tcW w:w="22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c>
          <w:tcPr>
            <w:tcW w:w="240" w:type="dxa"/>
            <w:vAlign w:val="bottom"/>
            <w:tcBorders>
              <w:top w:val="single" w:sz="8" w:color="CFF0FC"/>
            </w:tcBorders>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0%-60%</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2100" w:type="dxa"/>
            <w:vAlign w:val="bottom"/>
          </w:tcPr>
          <w:p>
            <w:pPr>
              <w:jc w:val="center"/>
              <w:spacing w:after="0"/>
              <w:rPr>
                <w:sz w:val="20"/>
                <w:szCs w:val="20"/>
                <w:color w:val="auto"/>
              </w:rPr>
            </w:pPr>
            <w:r>
              <w:rPr>
                <w:rFonts w:ascii="Arial" w:cs="Arial" w:eastAsia="Arial" w:hAnsi="Arial"/>
                <w:sz w:val="18"/>
                <w:szCs w:val="18"/>
                <w:color w:val="auto"/>
                <w:w w:val="93"/>
              </w:rPr>
              <w:t>6.00%</w:t>
            </w:r>
          </w:p>
        </w:tc>
        <w:tc>
          <w:tcPr>
            <w:tcW w:w="24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3"/>
              </w:rPr>
              <w:t>6.00%</w:t>
            </w:r>
          </w:p>
        </w:tc>
      </w:tr>
    </w:tbl>
    <w:p>
      <w:pPr>
        <w:spacing w:after="0" w:line="2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outstanding Series 1 nonconvertible preferred stock for which fair value is determined by Level 3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Series 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Nonconvertible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Stock</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September 30, 2019</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top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6000" w:type="dxa"/>
            <w:vAlign w:val="bottom"/>
          </w:tcPr>
          <w:p>
            <w:pPr>
              <w:ind w:left="240"/>
              <w:spacing w:after="0"/>
              <w:rPr>
                <w:sz w:val="20"/>
                <w:szCs w:val="20"/>
                <w:color w:val="auto"/>
              </w:rPr>
            </w:pPr>
            <w:r>
              <w:rPr>
                <w:rFonts w:ascii="Arial" w:cs="Arial" w:eastAsia="Arial" w:hAnsi="Arial"/>
                <w:sz w:val="18"/>
                <w:szCs w:val="18"/>
                <w:color w:val="auto"/>
              </w:rPr>
              <w:t>Change in fair value of nonconvertible preferred stock</w:t>
            </w:r>
          </w:p>
        </w:tc>
        <w:tc>
          <w:tcPr>
            <w:tcW w:w="260" w:type="dxa"/>
            <w:vAlign w:val="bottom"/>
          </w:tcPr>
          <w:p>
            <w:pPr>
              <w:spacing w:after="0"/>
              <w:rPr>
                <w:sz w:val="19"/>
                <w:szCs w:val="19"/>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6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March 31, 2020</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1890"/>
              <w:spacing w:after="0"/>
              <w:rPr>
                <w:sz w:val="20"/>
                <w:szCs w:val="20"/>
                <w:color w:val="auto"/>
              </w:rPr>
            </w:pPr>
            <w:r>
              <w:rPr>
                <w:rFonts w:ascii="Arial" w:cs="Arial" w:eastAsia="Arial" w:hAnsi="Arial"/>
                <w:sz w:val="18"/>
                <w:szCs w:val="18"/>
                <w:color w:val="auto"/>
              </w:rPr>
              <w:t>11</w:t>
            </w: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77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62" w:right="339" w:bottom="1440" w:gutter="0" w:footer="0" w:header="0"/>
        </w:sectPr>
      </w:pPr>
    </w:p>
    <w:bookmarkStart w:id="11" w:name="page12"/>
    <w:bookmarkEnd w:id="11"/>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and September 30, 2019, the fair value of available-for-sale marketable securities, by type of security, was as follows: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4"/>
              </w:rPr>
              <w:t>March 31, 2020</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166,780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147,608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146,949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360,264</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3"/>
              </w:rPr>
              <w:t>September 30, 2019</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20" w:type="dxa"/>
            <w:vAlign w:val="bottom"/>
            <w:gridSpan w:val="3"/>
          </w:tcPr>
          <w:p>
            <w:pPr>
              <w:jc w:val="center"/>
              <w:ind w:right="360"/>
              <w:spacing w:after="0" w:line="133"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11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2"/>
                <w:szCs w:val="12"/>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1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U.S. Treasury notes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170,519</w:t>
            </w:r>
          </w:p>
        </w:tc>
        <w:tc>
          <w:tcPr>
            <w:tcW w:w="2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2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2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2FC"/>
          </w:tcPr>
          <w:p>
            <w:pPr>
              <w:jc w:val="right"/>
              <w:ind w:right="40"/>
              <w:spacing w:after="0"/>
              <w:rPr>
                <w:sz w:val="20"/>
                <w:szCs w:val="20"/>
                <w:color w:val="auto"/>
              </w:rPr>
            </w:pPr>
            <w:r>
              <w:rPr>
                <w:rFonts w:ascii="Arial" w:cs="Arial" w:eastAsia="Arial" w:hAnsi="Arial"/>
                <w:sz w:val="18"/>
                <w:szCs w:val="18"/>
                <w:color w:val="auto"/>
              </w:rPr>
              <w:t>(64)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170,515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111,690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111,837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348,876</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As of March 31, 2020 and September 30, 2019 marketable securities consisted of investments that mature within one year, with the exception of certain corporate bonds and U.S. Treasury notes, which have maturities between one and three years and an aggregate fair value of $80,099 and $65,013, respectively.</w:t>
      </w:r>
    </w:p>
    <w:p>
      <w:pPr>
        <w:spacing w:after="0" w:line="288"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Accrued expenses and other current liabilities, as well as other long-term liabilities, consisted of the following as of March 31, 2020 and September 30, 2019:</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jc w:val="right"/>
              <w:ind w:right="314"/>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0" w:type="dxa"/>
            <w:vAlign w:val="bottom"/>
            <w:gridSpan w:val="4"/>
          </w:tcPr>
          <w:p>
            <w:pPr>
              <w:jc w:val="right"/>
              <w:ind w:right="993"/>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expenses: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w w:val="95"/>
              </w:rPr>
              <w:t>Accrued research and development expenses</w:t>
            </w:r>
          </w:p>
        </w:tc>
        <w:tc>
          <w:tcPr>
            <w:tcW w:w="1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2,880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6,936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Accrued payroll and related expenses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Accrued clinical manufacturing</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3,447</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fees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Accrued other</w:t>
            </w:r>
          </w:p>
        </w:tc>
        <w:tc>
          <w:tcPr>
            <w:tcW w:w="1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9,807</w:t>
            </w:r>
          </w:p>
        </w:tc>
        <w:tc>
          <w:tcPr>
            <w:tcW w:w="2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00" w:type="dxa"/>
            <w:vAlign w:val="bottom"/>
            <w:vMerge w:val="continue"/>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long-term liabilities:</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1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1,746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Accrued rent expense</w:t>
            </w: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Capital lease obligation</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w:t>
            </w:r>
          </w:p>
        </w:tc>
        <w:tc>
          <w:tcPr>
            <w:tcW w:w="1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20" w:type="dxa"/>
            <w:vAlign w:val="bottom"/>
            <w:vMerge w:val="restart"/>
          </w:tcPr>
          <w:p>
            <w:pPr>
              <w:jc w:val="right"/>
              <w:ind w:right="630"/>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2" w:name="page13"/>
    <w:bookmarkEnd w:id="12"/>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AbbVie Collaboration</w:t>
      </w:r>
    </w:p>
    <w:p>
      <w:pPr>
        <w:spacing w:after="0" w:line="229"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has a Collaborative Development and License Agreement (as amended, the “AbbVie Agreement”), with AbbVie to identify, develop and commercialize HCV NS3 and NS3/4A protease inhibitor compounds, including paritaprevir and glecaprevir, under which the Company has received license payments, proceeds from a sale of preferred stock, research funding payments, milestone payments and royalties totaling approximately $975,000 through March 31, 2020. Since the Company satisfied all of its performance obligations under the AbbVie Agreement by the end of fiscal 2011, all milestone payments received since then have been recognized as revenue when the milestones were achieved by AbbVie.</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receiving annually tiered royalties per Company protease product ranging from ten percent up to twenty percent, or on a blended basis from ten percent up to the high teens, on the portion of AbbVie’s calendar year net sales of each HCV regimen that is allocated to the protease inhibitor in the regimen. Beginning with each January 1, the cumulative net sales of a given royalty-bearing protease inhibitor product start at zero for purposes of calculating the tiered royalties on a product-by-product basis.</w:t>
      </w:r>
    </w:p>
    <w:p>
      <w:pPr>
        <w:spacing w:after="0" w:line="29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Series 1 Nonconvertible Preferred Stock</w:t>
      </w:r>
    </w:p>
    <w:p>
      <w:pPr>
        <w:spacing w:after="0" w:line="2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2020, 1,931 shares of Series 1 nonconvertible preferred stock were issued and outstanding. Since these shares qualify as a derivative, the outstanding shares are carried at fair value as a liability on the Company’s consolidated balance sheet.</w:t>
      </w:r>
    </w:p>
    <w:p>
      <w:pPr>
        <w:spacing w:after="0" w:line="274"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grants stock-based awards, including stock options and unit awards under its 2019 Equity Incentive Plan (the “2019 Plan”), which was approved by its stockholders on February 28, 2019. The Company also has outstanding unit awards, stock options and restricted stock unit awards under its 2012 Equity Incentive Plan (the “2012 Plan”) and its amended and restated 1995 Equity Incentive Plan (the “1995 Plan”), but is no longer granting awards under these plans.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stock option activity, including performance-based options, for the year-to-date period ending March 31, 2020:</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Under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2019</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2,967</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57,336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spacing w:after="0"/>
              <w:rPr>
                <w:sz w:val="20"/>
                <w:szCs w:val="20"/>
                <w:color w:val="auto"/>
              </w:rPr>
            </w:pPr>
            <w:r>
              <w:rPr>
                <w:rFonts w:ascii="Arial" w:cs="Arial" w:eastAsia="Arial" w:hAnsi="Arial"/>
                <w:sz w:val="18"/>
                <w:szCs w:val="18"/>
                <w:color w:val="auto"/>
              </w:rPr>
              <w:t>684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61.80</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29.68</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69.61</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March 31, 2020</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Options vested and expected to vest as of</w:t>
            </w: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0" w:type="dxa"/>
            <w:vAlign w:val="bottom"/>
          </w:tcPr>
          <w:p>
            <w:pPr>
              <w:spacing w:after="0"/>
              <w:rPr>
                <w:sz w:val="16"/>
                <w:szCs w:val="16"/>
                <w:color w:val="auto"/>
              </w:rPr>
            </w:pPr>
          </w:p>
        </w:tc>
        <w:tc>
          <w:tcPr>
            <w:tcW w:w="43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580" w:type="dxa"/>
            <w:vAlign w:val="bottom"/>
          </w:tcPr>
          <w:p>
            <w:pPr>
              <w:spacing w:after="0"/>
              <w:rPr>
                <w:sz w:val="23"/>
                <w:szCs w:val="23"/>
                <w:color w:val="auto"/>
              </w:rPr>
            </w:pPr>
          </w:p>
        </w:tc>
        <w:tc>
          <w:tcPr>
            <w:tcW w:w="4320" w:type="dxa"/>
            <w:vAlign w:val="bottom"/>
            <w:tcBorders>
              <w:bottom w:val="single" w:sz="8" w:color="CFF0FC"/>
            </w:tcBorders>
          </w:tcPr>
          <w:p>
            <w:pPr>
              <w:ind w:left="260"/>
              <w:spacing w:after="0"/>
              <w:rPr>
                <w:sz w:val="20"/>
                <w:szCs w:val="20"/>
                <w:color w:val="auto"/>
              </w:rPr>
            </w:pPr>
            <w:r>
              <w:rPr>
                <w:rFonts w:ascii="Arial" w:cs="Arial" w:eastAsia="Arial" w:hAnsi="Arial"/>
                <w:sz w:val="18"/>
                <w:szCs w:val="18"/>
                <w:b w:val="1"/>
                <w:bCs w:val="1"/>
                <w:color w:val="auto"/>
              </w:rPr>
              <w:t>March 31, 2020</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w:t>
            </w:r>
          </w:p>
        </w:tc>
        <w:tc>
          <w:tcPr>
            <w:tcW w:w="140" w:type="dxa"/>
            <w:vAlign w:val="bottom"/>
            <w:tcBorders>
              <w:bottom w:val="single" w:sz="8" w:color="CFF0FC"/>
            </w:tcBorders>
          </w:tcPr>
          <w:p>
            <w:pPr>
              <w:spacing w:after="0"/>
              <w:rPr>
                <w:sz w:val="23"/>
                <w:szCs w:val="23"/>
                <w:color w:val="auto"/>
              </w:rPr>
            </w:pPr>
          </w:p>
        </w:tc>
        <w:tc>
          <w:tcPr>
            <w:tcW w:w="300" w:type="dxa"/>
            <w:vAlign w:val="bottom"/>
            <w:tcBorders>
              <w:bottom w:val="single" w:sz="8" w:color="CFF0FC"/>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50.20</w:t>
            </w:r>
          </w:p>
        </w:tc>
        <w:tc>
          <w:tcPr>
            <w:tcW w:w="220" w:type="dxa"/>
            <w:vAlign w:val="bottom"/>
            <w:tcBorders>
              <w:bottom w:val="single" w:sz="8" w:color="CFF0FC"/>
            </w:tcBorders>
          </w:tcPr>
          <w:p>
            <w:pPr>
              <w:spacing w:after="0"/>
              <w:rPr>
                <w:sz w:val="23"/>
                <w:szCs w:val="23"/>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Borders>
              <w:bottom w:val="single" w:sz="8" w:color="CFF0FC"/>
            </w:tcBorders>
          </w:tcPr>
          <w:p>
            <w:pPr>
              <w:spacing w:after="0"/>
              <w:rPr>
                <w:sz w:val="23"/>
                <w:szCs w:val="23"/>
                <w:color w:val="auto"/>
              </w:rPr>
            </w:pP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32,699</w:t>
            </w:r>
          </w:p>
        </w:tc>
        <w:tc>
          <w:tcPr>
            <w:tcW w:w="100" w:type="dxa"/>
            <w:vAlign w:val="bottom"/>
            <w:tcBorders>
              <w:bottom w:val="single" w:sz="8" w:color="CFF0FC"/>
            </w:tcBorders>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Options exercisable as of March 31, 2020</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1,978</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2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30,213</w:t>
            </w:r>
          </w:p>
        </w:tc>
        <w:tc>
          <w:tcPr>
            <w:tcW w:w="100" w:type="dxa"/>
            <w:vAlign w:val="bottom"/>
            <w:tcBorders>
              <w:bottom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20" w:type="dxa"/>
            <w:vAlign w:val="bottom"/>
          </w:tcPr>
          <w:p>
            <w:pPr>
              <w:jc w:val="right"/>
              <w:ind w:right="417"/>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Market and Performance-Based Stock Unit Awards</w:t>
      </w:r>
    </w:p>
    <w:p>
      <w:pPr>
        <w:spacing w:after="0" w:line="229"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 The number of units represents the target number of shares of common stock that may be earned; however, the actual number of shares that may be earned ranges from 0% to 150% of the target number. The following table summarizes PSU and rTSRU activity for the year-to-date period ending March 31, 2020:</w:t>
      </w: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PSUs</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5"/>
          </w:tcPr>
          <w:p>
            <w:pPr>
              <w:ind w:left="120"/>
              <w:spacing w:after="0"/>
              <w:rPr>
                <w:sz w:val="20"/>
                <w:szCs w:val="20"/>
                <w:color w:val="auto"/>
              </w:rPr>
            </w:pPr>
            <w:r>
              <w:rPr>
                <w:rFonts w:ascii="Arial" w:cs="Arial" w:eastAsia="Arial" w:hAnsi="Arial"/>
                <w:sz w:val="14"/>
                <w:szCs w:val="14"/>
                <w:b w:val="1"/>
                <w:bCs w:val="1"/>
                <w:color w:val="auto"/>
              </w:rPr>
              <w:t>rTSRUs</w:t>
            </w:r>
          </w:p>
        </w:tc>
        <w:tc>
          <w:tcPr>
            <w:tcW w:w="0" w:type="dxa"/>
            <w:vAlign w:val="bottom"/>
          </w:tcPr>
          <w:p>
            <w:pPr>
              <w:spacing w:after="0"/>
              <w:rPr>
                <w:sz w:val="1"/>
                <w:szCs w:val="1"/>
                <w:color w:val="auto"/>
              </w:rPr>
            </w:pPr>
          </w:p>
        </w:tc>
      </w:tr>
      <w:tr>
        <w:trPr>
          <w:trHeight w:val="133"/>
        </w:trPr>
        <w:tc>
          <w:tcPr>
            <w:tcW w:w="43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38"/>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jc w:val="center"/>
              <w:ind w:right="1128"/>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9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gridSpan w:val="4"/>
          </w:tcPr>
          <w:p>
            <w:pPr>
              <w:jc w:val="center"/>
              <w:ind w:right="1108"/>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center"/>
              <w:ind w:left="345"/>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40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36"/>
        </w:trPr>
        <w:tc>
          <w:tcPr>
            <w:tcW w:w="43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420" w:type="dxa"/>
            <w:vAlign w:val="bottom"/>
            <w:tcBorders>
              <w:top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w w:val="90"/>
              </w:rPr>
              <w:t>(in thousands, except per share data)</w:t>
            </w:r>
          </w:p>
        </w:tc>
        <w:tc>
          <w:tcPr>
            <w:tcW w:w="2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2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73.02</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Granted</w:t>
            </w:r>
          </w:p>
        </w:tc>
        <w:tc>
          <w:tcPr>
            <w:tcW w:w="36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63.94</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77.93</w:t>
            </w: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3"/>
              </w:rPr>
              <w:t>(20)</w:t>
            </w: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gridSpan w:val="2"/>
          </w:tcPr>
          <w:p>
            <w:pPr>
              <w:ind w:left="240"/>
              <w:spacing w:after="0"/>
              <w:rPr>
                <w:sz w:val="20"/>
                <w:szCs w:val="20"/>
                <w:color w:val="auto"/>
              </w:rPr>
            </w:pPr>
            <w:r>
              <w:rPr>
                <w:rFonts w:ascii="Arial" w:cs="Arial" w:eastAsia="Arial" w:hAnsi="Arial"/>
                <w:sz w:val="18"/>
                <w:szCs w:val="18"/>
                <w:color w:val="auto"/>
              </w:rPr>
              <w:t>Cancelled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8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77.93</w:t>
            </w: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2020</w:t>
            </w: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8"/>
              </w:rPr>
              <w:t>65.23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During the three months ended December 31, 2016, the Company awarded restricted stock units to its employees, which vest 50% in three years and 50% in four years, provided the employee remains employed with the Company at the time of vesting. The fair value per share of these awards was determined based on the intrinsic value of the stock on the date of grant and is being recognized as stock-based compensation expense over the requisite service period. The following table summarizes the restricted stock unit activity for the year-to-date period ending March 31, 2020:</w:t>
      </w:r>
    </w:p>
    <w:p>
      <w:pPr>
        <w:spacing w:after="0" w:line="16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Restricted Stock</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5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3160" w:type="dxa"/>
            <w:vAlign w:val="bottom"/>
            <w:gridSpan w:val="5"/>
          </w:tcPr>
          <w:p>
            <w:pPr>
              <w:ind w:left="40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Unvested at September 30, 2019</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Vested</w:t>
            </w: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40"/>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March 31, 2020</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and six months ended March 31, 2020 and 2019, the Company recognized the following stock-based compensation expense: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155"/>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c>
          <w:tcPr>
            <w:tcW w:w="1680" w:type="dxa"/>
            <w:vAlign w:val="bottom"/>
          </w:tcPr>
          <w:p>
            <w:pPr>
              <w:spacing w:after="0"/>
              <w:rPr>
                <w:sz w:val="15"/>
                <w:szCs w:val="15"/>
                <w:color w:val="auto"/>
              </w:rPr>
            </w:pPr>
          </w:p>
        </w:tc>
      </w:tr>
      <w:tr>
        <w:trPr>
          <w:trHeight w:val="171"/>
        </w:trPr>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19"/>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69"/>
        </w:trPr>
        <w:tc>
          <w:tcPr>
            <w:tcW w:w="17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55"/>
        </w:trPr>
        <w:tc>
          <w:tcPr>
            <w:tcW w:w="170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left="319"/>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29"/>
        </w:trPr>
        <w:tc>
          <w:tcPr>
            <w:tcW w:w="1700" w:type="dxa"/>
            <w:vAlign w:val="bottom"/>
          </w:tcPr>
          <w:p>
            <w:pPr>
              <w:spacing w:after="0"/>
              <w:rPr>
                <w:sz w:val="19"/>
                <w:szCs w:val="19"/>
                <w:color w:val="auto"/>
              </w:rPr>
            </w:pPr>
          </w:p>
        </w:tc>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2,194</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4,468</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4,896</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6,082</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10,550</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3"/>
        </w:trPr>
        <w:tc>
          <w:tcPr>
            <w:tcW w:w="17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39"/>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4" w:name="page15"/>
    <w:bookmarkEnd w:id="14"/>
    <w:tbl>
      <w:tblPr>
        <w:tblLayout w:type="fixed"/>
        <w:tblInd w:w="170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gridSpan w:val="4"/>
          </w:tcPr>
          <w:p>
            <w:pPr>
              <w:jc w:val="center"/>
              <w:ind w:right="153"/>
              <w:spacing w:after="0"/>
              <w:rPr>
                <w:sz w:val="20"/>
                <w:szCs w:val="20"/>
                <w:color w:val="auto"/>
              </w:rPr>
            </w:pPr>
            <w:r>
              <w:rPr>
                <w:rFonts w:ascii="Arial" w:cs="Arial" w:eastAsia="Arial" w:hAnsi="Arial"/>
                <w:sz w:val="14"/>
                <w:szCs w:val="14"/>
                <w:b w:val="1"/>
                <w:bCs w:val="1"/>
                <w:color w:val="auto"/>
                <w:w w:val="92"/>
              </w:rPr>
              <w:t>Three Months ended</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5"/>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left="318"/>
              <w:spacing w:after="0"/>
              <w:rPr>
                <w:sz w:val="20"/>
                <w:szCs w:val="20"/>
                <w:color w:val="auto"/>
              </w:rPr>
            </w:pPr>
            <w:r>
              <w:rPr>
                <w:rFonts w:ascii="Arial" w:cs="Arial" w:eastAsia="Arial" w:hAnsi="Arial"/>
                <w:sz w:val="14"/>
                <w:szCs w:val="14"/>
                <w:b w:val="1"/>
                <w:bCs w:val="1"/>
                <w:color w:val="auto"/>
                <w:w w:val="95"/>
              </w:rPr>
              <w:t>March 31,</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33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56"/>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center"/>
              <w:ind w:left="3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3,949</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8,777</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7,853</w:t>
            </w:r>
          </w:p>
        </w:tc>
        <w:tc>
          <w:tcPr>
            <w:tcW w:w="80" w:type="dxa"/>
            <w:vAlign w:val="bottom"/>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Performance stock units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1,278</w:t>
            </w:r>
          </w:p>
        </w:tc>
        <w:tc>
          <w:tcPr>
            <w:tcW w:w="80" w:type="dxa"/>
            <w:vAlign w:val="bottom"/>
          </w:tcPr>
          <w:p>
            <w:pPr>
              <w:spacing w:after="0"/>
              <w:rPr>
                <w:sz w:val="19"/>
                <w:szCs w:val="19"/>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rTSRUs</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stock units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1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4,977</w:t>
            </w:r>
          </w:p>
        </w:tc>
        <w:tc>
          <w:tcPr>
            <w:tcW w:w="6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10,076</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the six months ended March 31, 2020 and 2019, the Company recognized stock-based compensation expense for performance-based stock units for which vesting became probable upon achievement of performance-based targets that occurred during their respective performance periods.</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March 31, 2020, the Company had an aggregate of $47,904 of unrecognized stock-based compensation cost, which is expected to be recognized over a weighted average period of 2.6 years.</w:t>
      </w:r>
    </w:p>
    <w:p>
      <w:pPr>
        <w:spacing w:after="0" w:line="274"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six months ended March 31, 2020 and 2019: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8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10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March 31,</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40" w:type="dxa"/>
            <w:vAlign w:val="bottom"/>
            <w:gridSpan w:val="4"/>
          </w:tcPr>
          <w:p>
            <w:pPr>
              <w:jc w:val="right"/>
              <w:ind w:right="155"/>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(6,005)</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19,487</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share—basic</w:t>
            </w: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3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3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(6,005)</w:t>
            </w:r>
          </w:p>
        </w:tc>
        <w:tc>
          <w:tcPr>
            <w:tcW w:w="3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4,145</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7,438</w:t>
            </w:r>
          </w:p>
        </w:tc>
        <w:tc>
          <w:tcPr>
            <w:tcW w:w="760" w:type="dxa"/>
            <w:vAlign w:val="bottom"/>
            <w:gridSpan w:val="2"/>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Denominator:</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19,549</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19,836</w:t>
            </w: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500"/>
              <w:spacing w:after="0"/>
              <w:rPr>
                <w:sz w:val="20"/>
                <w:szCs w:val="20"/>
                <w:color w:val="auto"/>
              </w:rPr>
            </w:pPr>
            <w:r>
              <w:rPr>
                <w:rFonts w:ascii="Arial" w:cs="Arial" w:eastAsia="Arial" w:hAnsi="Arial"/>
                <w:sz w:val="18"/>
                <w:szCs w:val="18"/>
                <w:color w:val="auto"/>
              </w:rPr>
              <w:t>Dilutive effect of common stock equivalents</w:t>
            </w:r>
          </w:p>
        </w:tc>
        <w:tc>
          <w:tcPr>
            <w:tcW w:w="28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FF0FC"/>
            </w:tcBorders>
            <w:shd w:val="clear" w:color="auto" w:fill="CFF0FC"/>
          </w:tcPr>
          <w:p>
            <w:pPr>
              <w:ind w:left="64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19,922</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21,084</w:t>
            </w:r>
          </w:p>
        </w:tc>
        <w:tc>
          <w:tcPr>
            <w:tcW w:w="3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20,692</w:t>
            </w:r>
          </w:p>
        </w:tc>
        <w:tc>
          <w:tcPr>
            <w:tcW w:w="3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20,946</w:t>
            </w:r>
          </w:p>
        </w:tc>
        <w:tc>
          <w:tcPr>
            <w:tcW w:w="1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60"/>
              <w:spacing w:after="0"/>
              <w:rPr>
                <w:sz w:val="20"/>
                <w:szCs w:val="20"/>
                <w:color w:val="auto"/>
              </w:rPr>
            </w:pPr>
            <w:r>
              <w:rPr>
                <w:rFonts w:ascii="Arial" w:cs="Arial" w:eastAsia="Arial" w:hAnsi="Arial"/>
                <w:sz w:val="18"/>
                <w:szCs w:val="18"/>
                <w:color w:val="auto"/>
              </w:rPr>
              <w:t>Net income (loss) per share common share—diluted</w:t>
            </w:r>
          </w:p>
        </w:tc>
        <w:tc>
          <w:tcPr>
            <w:tcW w:w="2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vMerge w:val="continue"/>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320" w:type="dxa"/>
            <w:vAlign w:val="bottom"/>
            <w:tcBorders>
              <w:bottom w:val="single" w:sz="8" w:color="CFF0FC"/>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320" w:type="dxa"/>
            <w:vAlign w:val="bottom"/>
            <w:tcBorders>
              <w:bottom w:val="single" w:sz="8" w:color="CFF0FC"/>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320" w:type="dxa"/>
            <w:vAlign w:val="bottom"/>
            <w:shd w:val="clear" w:color="auto" w:fill="CFF0FC"/>
          </w:tcPr>
          <w:p>
            <w:pPr>
              <w:ind w:left="260"/>
              <w:spacing w:after="0" w:line="195" w:lineRule="exact"/>
              <w:rPr>
                <w:sz w:val="20"/>
                <w:szCs w:val="20"/>
                <w:color w:val="auto"/>
              </w:rPr>
            </w:pPr>
            <w:r>
              <w:rPr>
                <w:rFonts w:ascii="Arial" w:cs="Arial" w:eastAsia="Arial" w:hAnsi="Arial"/>
                <w:sz w:val="18"/>
                <w:szCs w:val="18"/>
                <w:color w:val="auto"/>
              </w:rPr>
              <w:t>Anti-dilutive common stock equivalents excluded</w:t>
            </w: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from above</w:t>
            </w: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3,714</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w:t>
            </w:r>
          </w:p>
        </w:tc>
        <w:tc>
          <w:tcPr>
            <w:tcW w:w="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2,457</w:t>
            </w:r>
          </w:p>
        </w:tc>
        <w:tc>
          <w:tcPr>
            <w:tcW w:w="3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impact of certain common stock equivalents was excluded from the computation of diluted net loss per share for the periods in which the Company incurred a net loss since the impact of such common stock equivalents would have been anti-dilutive.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Company’s provision for income taxes consists of federal and state taxes necessary to align the Company’s year-to-date tax provision with the annual effective rate that it expects to achieve for the full year. At each interim period, the Company updates its estimate of the annual effective tax rate and records cumulative adjustments as necessary. The authoritative guidance for accounting for income taxes allows use of the year-to-date effective tax rate (the “discrete method”) when a reliable estimate of the estimated annual effective tax rate cannot be made. During the six months ended March 31, 2020, the Company determined the use of the discrete method is more appropriate than the annual effective tax rate method due to the sensitivity of the Company’s tax rate to small changes in projected pre-tax earnings, which can result in significant variations in the customary relationship between income tax expense and pre-tax income. As such, the Company has discretely calculated the tax provision based on pre-tax results through the six months ended March 31, 2020. For the three months ended March 31, 2020 and 2019, the Company recorded an income tax benefit of $3,920 and $3,204, respectively, both of which were attributable to the Company’s domestic operations. The Company has no foreign operations and therefore, has not provided for any foreign taxes. For the six months ended March 31, 2020 and 2019, the Company recorded an income tax benefit of $2,416 and income tax (expense) of ($526), respectively. Although the Company reported pre-tax income for the six months ended March 31, 2020, the Company recorded an income tax benefit due to federal research and development tax credits, release of an uncertain tax position and stock award-related activity during the year. For the six months ended March 31, 2019, the Company recorded income tax (expense) of ($526) driven by its pre-tax income which was offset by federal research and development tax credits and employee stock award-related activity during the prior year.</w:t>
      </w:r>
    </w:p>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2016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consolidated financial statements. The Company is in the process of finalizing the completion of the IRS audit. In addition, during October 2018 the Company received notice of examination by the Massachusetts Department of Revenue (“DOR”) for the years ending September 30, 2015 and September 30, 2016. The Company received a notice of proposed adjustment from the DOR, the amount of which was immaterial to the consolidated financial statements. The Company finalized the adjustment with the DOR during the three months ended March 31, 2020. The Company has not received notice of examination by any other jurisdictions for any other tax year open under statute.</w:t>
      </w:r>
    </w:p>
    <w:p>
      <w:pPr>
        <w:spacing w:after="0" w:line="18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had unrecognized tax benefits totaling $764 and $1,650 as of March 31, 2020, and September 30, 2019, respectively. Unrecognized tax benefits represent tax positions for which reserves have been established. The Company’s policy is to record interest and penalties related to uncertain tax positions as part of its income tax provision. In conjunction with the finalization of the DOR audit, the Company released an uncertain tax benefit of $539 during the three months ended March 31, 2020 which was reflected in the income tax benefit reported during the period.</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response to the COVID-19 pandemic, the Coronavirus Aid, Relief and Economic Security Act (“CARES Act”) was signed into law in March 2020. The CARES Act lifts certain deduction limitations originally imposed by the Tax Cuts and Jobs Act of 2017 (the “Tax Act”). Under the CARES Act, the Company is permitted to carry back net operating losses originating beginning in fiscal 2018 through fiscal 2020 for up to five years. Net operating loss carrybacks were previously prohibited under the Tax Act. The CARES Act also eliminates the 80% of taxable income limitations by allowing corporate entities to fully utilize net operating loss carryforwards to offset taxable income in fiscal years 2018, 2019 or 2020. In addition, the CARES Act makes qualified improvement property eligible for 15-year cost-recovery and 100% bonus depreciation. The enactment of the CARES Act did not result in any material adjustments to the Company’s consolidated financial statements for the three months ended March 31, 2020.</w:t>
      </w:r>
    </w:p>
    <w:p>
      <w:pPr>
        <w:spacing w:after="0" w:line="28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has two real estate leases for properties located in Watertown, Massachusetts. The first lease, for office and laboratory space at 500 Arsenal Street, was effective in fiscal 2011 and expires in September 2022 with an option to extend the lease term for an additional five years. The second lease, for office space located at 400 Talcott Avenue, was effective September 2018 and expires in August 2024 with two options to extend the lease term for an additional three years each. The options to extend the lease terms were not included in the right-of-use assets and lease liabilities as they were not reasonably certain of being exercised. The lease payments for the office and laboratory space include fixed lease payments that escalate over the terms of the leases. Additionally, the Company’s office and laboratory space leases require the Company to pay for certain operating expenses based on actual costs incurred and therefore as the amounts are variable in nature are expensed in the period incurred and included in variable lease costs.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16" w:name="page17"/>
    <w:bookmarkEnd w:id="16"/>
    <w:p>
      <w:pPr>
        <w:ind w:right="160"/>
        <w:spacing w:after="0" w:line="257" w:lineRule="auto"/>
        <w:rPr>
          <w:sz w:val="20"/>
          <w:szCs w:val="20"/>
          <w:color w:val="auto"/>
        </w:rPr>
      </w:pPr>
      <w:r>
        <w:rPr>
          <w:rFonts w:ascii="Arial" w:cs="Arial" w:eastAsia="Arial" w:hAnsi="Arial"/>
          <w:sz w:val="18"/>
          <w:szCs w:val="18"/>
          <w:color w:val="auto"/>
        </w:rPr>
        <w:t>In October 2019, the Company entered into an agreement to lease units of equipment over eighteen-month lease periods commencing upon shipment of each unit. The lease agreement contains an option to terminate the lease early, however this early-termination option was not included in the right-of-use asset and lease liability as it was not reasonably certain of being exercised. The equipment lease requires the Company to pay for certain consumable and peripheral equipment supplies based on actual costs incurred and therefore, as these costs are variable in nature, they are expensed in the period incurred and included in variable lease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Company’s real estate and equipment leases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jc w:val="right"/>
              <w:ind w:right="659"/>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7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Operating lease cost</w:t>
            </w:r>
          </w:p>
        </w:tc>
        <w:tc>
          <w:tcPr>
            <w:tcW w:w="1060" w:type="dxa"/>
            <w:vAlign w:val="bottom"/>
            <w:gridSpan w:val="3"/>
            <w:shd w:val="clear" w:color="auto" w:fill="CFF2FC"/>
          </w:tcPr>
          <w:p>
            <w:pPr>
              <w:jc w:val="right"/>
              <w:ind w:right="13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950</w:t>
            </w:r>
          </w:p>
        </w:tc>
        <w:tc>
          <w:tcPr>
            <w:tcW w:w="500" w:type="dxa"/>
            <w:vAlign w:val="bottom"/>
            <w:gridSpan w:val="3"/>
            <w:shd w:val="clear" w:color="auto" w:fill="CFF2FC"/>
          </w:tcPr>
          <w:p>
            <w:pPr>
              <w:jc w:val="right"/>
              <w:ind w:right="5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140"/>
              <w:spacing w:after="0"/>
              <w:rPr>
                <w:sz w:val="20"/>
                <w:szCs w:val="20"/>
                <w:color w:val="auto"/>
              </w:rPr>
            </w:pPr>
            <w:r>
              <w:rPr>
                <w:rFonts w:ascii="Arial" w:cs="Arial" w:eastAsia="Arial" w:hAnsi="Arial"/>
                <w:sz w:val="18"/>
                <w:szCs w:val="18"/>
                <w:color w:val="auto"/>
              </w:rPr>
              <w:t>Short-term lease cost</w:t>
            </w: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Variable lease cost</w:t>
            </w:r>
          </w:p>
        </w:tc>
        <w:tc>
          <w:tcPr>
            <w:tcW w:w="70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320" w:type="dxa"/>
            <w:vAlign w:val="bottom"/>
            <w:tcBorders>
              <w:bottom w:val="single" w:sz="8" w:color="auto"/>
            </w:tcBorders>
            <w:shd w:val="clear" w:color="auto" w:fill="CFF2FC"/>
          </w:tcPr>
          <w:p>
            <w:pPr>
              <w:spacing w:after="0"/>
              <w:rPr>
                <w:sz w:val="19"/>
                <w:szCs w:val="19"/>
                <w:color w:val="auto"/>
              </w:rPr>
            </w:pPr>
          </w:p>
        </w:tc>
        <w:tc>
          <w:tcPr>
            <w:tcW w:w="212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488</w:t>
            </w:r>
          </w:p>
        </w:tc>
        <w:tc>
          <w:tcPr>
            <w:tcW w:w="22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240" w:type="dxa"/>
            <w:vAlign w:val="bottom"/>
            <w:tcBorders>
              <w:bottom w:val="single" w:sz="8" w:color="auto"/>
            </w:tcBorders>
            <w:shd w:val="clear" w:color="auto" w:fill="CFF2FC"/>
          </w:tcPr>
          <w:p>
            <w:pPr>
              <w:spacing w:after="0"/>
              <w:rPr>
                <w:sz w:val="19"/>
                <w:szCs w:val="19"/>
                <w:color w:val="auto"/>
              </w:rPr>
            </w:pPr>
          </w:p>
        </w:tc>
        <w:tc>
          <w:tcPr>
            <w:tcW w:w="1760" w:type="dxa"/>
            <w:vAlign w:val="bottom"/>
            <w:tcBorders>
              <w:bottom w:val="single" w:sz="8" w:color="auto"/>
            </w:tcBorders>
            <w:gridSpan w:val="2"/>
            <w:shd w:val="clear" w:color="auto" w:fill="CFF2FC"/>
          </w:tcPr>
          <w:p>
            <w:pPr>
              <w:jc w:val="right"/>
              <w:ind w:right="20"/>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Other information:</w:t>
            </w: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7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5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jc w:val="right"/>
              <w:ind w:right="719"/>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5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7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Cash paid for amounts included in the measurement of</w:t>
            </w:r>
          </w:p>
        </w:tc>
        <w:tc>
          <w:tcPr>
            <w:tcW w:w="700" w:type="dxa"/>
            <w:vAlign w:val="bottom"/>
            <w:shd w:val="clear" w:color="auto" w:fill="CFF2FC"/>
          </w:tcPr>
          <w:p>
            <w:pPr>
              <w:spacing w:after="0"/>
              <w:rPr>
                <w:sz w:val="18"/>
                <w:szCs w:val="18"/>
                <w:color w:val="auto"/>
              </w:rPr>
            </w:pPr>
          </w:p>
        </w:tc>
        <w:tc>
          <w:tcPr>
            <w:tcW w:w="40" w:type="dxa"/>
            <w:vAlign w:val="bottom"/>
            <w:shd w:val="clear" w:color="auto" w:fill="CFF2FC"/>
          </w:tcPr>
          <w:p>
            <w:pPr>
              <w:spacing w:after="0"/>
              <w:rPr>
                <w:sz w:val="18"/>
                <w:szCs w:val="18"/>
                <w:color w:val="auto"/>
              </w:rPr>
            </w:pPr>
          </w:p>
        </w:tc>
        <w:tc>
          <w:tcPr>
            <w:tcW w:w="320" w:type="dxa"/>
            <w:vAlign w:val="bottom"/>
            <w:shd w:val="clear" w:color="auto" w:fill="CFF2FC"/>
          </w:tcPr>
          <w:p>
            <w:pPr>
              <w:spacing w:after="0"/>
              <w:rPr>
                <w:sz w:val="18"/>
                <w:szCs w:val="18"/>
                <w:color w:val="auto"/>
              </w:rPr>
            </w:pPr>
          </w:p>
        </w:tc>
        <w:tc>
          <w:tcPr>
            <w:tcW w:w="2120" w:type="dxa"/>
            <w:vAlign w:val="bottom"/>
            <w:shd w:val="clear" w:color="auto" w:fill="CFF2FC"/>
          </w:tcPr>
          <w:p>
            <w:pPr>
              <w:spacing w:after="0"/>
              <w:rPr>
                <w:sz w:val="18"/>
                <w:szCs w:val="18"/>
                <w:color w:val="auto"/>
              </w:rPr>
            </w:pPr>
          </w:p>
        </w:tc>
        <w:tc>
          <w:tcPr>
            <w:tcW w:w="220" w:type="dxa"/>
            <w:vAlign w:val="bottom"/>
            <w:shd w:val="clear" w:color="auto" w:fill="CFF2FC"/>
          </w:tcPr>
          <w:p>
            <w:pPr>
              <w:spacing w:after="0"/>
              <w:rPr>
                <w:sz w:val="18"/>
                <w:szCs w:val="18"/>
                <w:color w:val="auto"/>
              </w:rPr>
            </w:pPr>
          </w:p>
        </w:tc>
        <w:tc>
          <w:tcPr>
            <w:tcW w:w="40" w:type="dxa"/>
            <w:vAlign w:val="bottom"/>
            <w:shd w:val="clear" w:color="auto" w:fill="CFF2FC"/>
          </w:tcPr>
          <w:p>
            <w:pPr>
              <w:spacing w:after="0"/>
              <w:rPr>
                <w:sz w:val="18"/>
                <w:szCs w:val="18"/>
                <w:color w:val="auto"/>
              </w:rPr>
            </w:pPr>
          </w:p>
        </w:tc>
        <w:tc>
          <w:tcPr>
            <w:tcW w:w="240" w:type="dxa"/>
            <w:vAlign w:val="bottom"/>
            <w:shd w:val="clear" w:color="auto" w:fill="CFF2FC"/>
          </w:tcPr>
          <w:p>
            <w:pPr>
              <w:spacing w:after="0"/>
              <w:rPr>
                <w:sz w:val="18"/>
                <w:szCs w:val="18"/>
                <w:color w:val="auto"/>
              </w:rPr>
            </w:pPr>
          </w:p>
        </w:tc>
        <w:tc>
          <w:tcPr>
            <w:tcW w:w="1680" w:type="dxa"/>
            <w:vAlign w:val="bottom"/>
            <w:shd w:val="clear" w:color="auto" w:fill="CFF2FC"/>
          </w:tcPr>
          <w:p>
            <w:pPr>
              <w:spacing w:after="0"/>
              <w:rPr>
                <w:sz w:val="18"/>
                <w:szCs w:val="18"/>
                <w:color w:val="auto"/>
              </w:rPr>
            </w:pPr>
          </w:p>
        </w:tc>
        <w:tc>
          <w:tcPr>
            <w:tcW w:w="80" w:type="dxa"/>
            <w:vAlign w:val="bottom"/>
            <w:shd w:val="clear" w:color="auto" w:fill="CFF2FC"/>
          </w:tcPr>
          <w:p>
            <w:pPr>
              <w:spacing w:after="0"/>
              <w:rPr>
                <w:sz w:val="18"/>
                <w:szCs w:val="18"/>
                <w:color w:val="auto"/>
              </w:rPr>
            </w:pPr>
          </w:p>
        </w:tc>
        <w:tc>
          <w:tcPr>
            <w:tcW w:w="100" w:type="dxa"/>
            <w:vAlign w:val="bottom"/>
            <w:shd w:val="clear" w:color="auto" w:fill="CFF2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2FC"/>
          </w:tcPr>
          <w:p>
            <w:pPr>
              <w:ind w:left="260"/>
              <w:spacing w:after="0"/>
              <w:rPr>
                <w:sz w:val="20"/>
                <w:szCs w:val="20"/>
                <w:color w:val="auto"/>
              </w:rPr>
            </w:pPr>
            <w:r>
              <w:rPr>
                <w:rFonts w:ascii="Arial" w:cs="Arial" w:eastAsia="Arial" w:hAnsi="Arial"/>
                <w:sz w:val="18"/>
                <w:szCs w:val="18"/>
                <w:color w:val="auto"/>
              </w:rPr>
              <w:t>operating lease liabilities</w:t>
            </w:r>
          </w:p>
        </w:tc>
        <w:tc>
          <w:tcPr>
            <w:tcW w:w="1060" w:type="dxa"/>
            <w:vAlign w:val="bottom"/>
            <w:gridSpan w:val="3"/>
            <w:shd w:val="clear" w:color="auto" w:fill="CFF2FC"/>
          </w:tcPr>
          <w:p>
            <w:pPr>
              <w:jc w:val="right"/>
              <w:ind w:right="19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1,048</w:t>
            </w:r>
          </w:p>
        </w:tc>
        <w:tc>
          <w:tcPr>
            <w:tcW w:w="500" w:type="dxa"/>
            <w:vAlign w:val="bottom"/>
            <w:gridSpan w:val="3"/>
            <w:shd w:val="clear" w:color="auto" w:fill="CFF2FC"/>
          </w:tcPr>
          <w:p>
            <w:pPr>
              <w:jc w:val="right"/>
              <w:ind w:right="11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1,784</w:t>
            </w:r>
          </w:p>
        </w:tc>
        <w:tc>
          <w:tcPr>
            <w:tcW w:w="80" w:type="dxa"/>
            <w:vAlign w:val="bottom"/>
            <w:shd w:val="clear" w:color="auto" w:fill="CFF2FC"/>
          </w:tcPr>
          <w:p>
            <w:pPr>
              <w:spacing w:after="0"/>
              <w:rPr>
                <w:sz w:val="20"/>
                <w:szCs w:val="20"/>
                <w:color w:val="auto"/>
              </w:rPr>
            </w:pPr>
          </w:p>
        </w:tc>
        <w:tc>
          <w:tcPr>
            <w:tcW w:w="100" w:type="dxa"/>
            <w:vAlign w:val="bottom"/>
            <w:shd w:val="clear" w:color="auto" w:fill="CFF2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Operating lease liabilities arising from obtaining right-of-use assets</w:t>
            </w:r>
          </w:p>
        </w:tc>
        <w:tc>
          <w:tcPr>
            <w:tcW w:w="1060" w:type="dxa"/>
            <w:vAlign w:val="bottom"/>
            <w:gridSpan w:val="3"/>
          </w:tcPr>
          <w:p>
            <w:pPr>
              <w:jc w:val="right"/>
              <w:ind w:right="190"/>
              <w:spacing w:after="0"/>
              <w:rPr>
                <w:sz w:val="20"/>
                <w:szCs w:val="20"/>
                <w:color w:val="auto"/>
              </w:rPr>
            </w:pP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1,997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5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March 31, 2020</w:t>
            </w:r>
          </w:p>
        </w:tc>
        <w:tc>
          <w:tcPr>
            <w:tcW w:w="0" w:type="dxa"/>
            <w:vAlign w:val="bottom"/>
          </w:tcPr>
          <w:p>
            <w:pPr>
              <w:spacing w:after="0"/>
              <w:rPr>
                <w:sz w:val="1"/>
                <w:szCs w:val="1"/>
                <w:color w:val="auto"/>
              </w:rPr>
            </w:pPr>
          </w:p>
        </w:tc>
      </w:tr>
      <w:tr>
        <w:trPr>
          <w:trHeight w:val="26"/>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5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FF2FC"/>
          </w:tcPr>
          <w:p>
            <w:pPr>
              <w:ind w:left="140"/>
              <w:spacing w:after="0"/>
              <w:rPr>
                <w:sz w:val="20"/>
                <w:szCs w:val="20"/>
                <w:color w:val="auto"/>
              </w:rPr>
            </w:pPr>
            <w:r>
              <w:rPr>
                <w:rFonts w:ascii="Arial" w:cs="Arial" w:eastAsia="Arial" w:hAnsi="Arial"/>
                <w:sz w:val="18"/>
                <w:szCs w:val="18"/>
                <w:color w:val="auto"/>
              </w:rPr>
              <w:t>Weighted-average remaining lease term - operating leases (in years)</w:t>
            </w:r>
          </w:p>
        </w:tc>
        <w:tc>
          <w:tcPr>
            <w:tcW w:w="70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320" w:type="dxa"/>
            <w:vAlign w:val="bottom"/>
            <w:shd w:val="clear" w:color="auto" w:fill="CFF2FC"/>
          </w:tcPr>
          <w:p>
            <w:pPr>
              <w:spacing w:after="0"/>
              <w:rPr>
                <w:sz w:val="19"/>
                <w:szCs w:val="19"/>
                <w:color w:val="auto"/>
              </w:rPr>
            </w:pPr>
          </w:p>
        </w:tc>
        <w:tc>
          <w:tcPr>
            <w:tcW w:w="2120" w:type="dxa"/>
            <w:vAlign w:val="bottom"/>
            <w:shd w:val="clear" w:color="auto" w:fill="CFF2FC"/>
          </w:tcPr>
          <w:p>
            <w:pPr>
              <w:spacing w:after="0"/>
              <w:rPr>
                <w:sz w:val="19"/>
                <w:szCs w:val="19"/>
                <w:color w:val="auto"/>
              </w:rPr>
            </w:pPr>
          </w:p>
        </w:tc>
        <w:tc>
          <w:tcPr>
            <w:tcW w:w="220" w:type="dxa"/>
            <w:vAlign w:val="bottom"/>
            <w:shd w:val="clear" w:color="auto" w:fill="CFF2FC"/>
          </w:tcPr>
          <w:p>
            <w:pPr>
              <w:spacing w:after="0"/>
              <w:rPr>
                <w:sz w:val="19"/>
                <w:szCs w:val="19"/>
                <w:color w:val="auto"/>
              </w:rPr>
            </w:pPr>
          </w:p>
        </w:tc>
        <w:tc>
          <w:tcPr>
            <w:tcW w:w="40" w:type="dxa"/>
            <w:vAlign w:val="bottom"/>
            <w:shd w:val="clear" w:color="auto" w:fill="CFF2FC"/>
          </w:tcPr>
          <w:p>
            <w:pPr>
              <w:spacing w:after="0"/>
              <w:rPr>
                <w:sz w:val="19"/>
                <w:szCs w:val="19"/>
                <w:color w:val="auto"/>
              </w:rPr>
            </w:pPr>
          </w:p>
        </w:tc>
        <w:tc>
          <w:tcPr>
            <w:tcW w:w="240" w:type="dxa"/>
            <w:vAlign w:val="bottom"/>
            <w:shd w:val="clear" w:color="auto" w:fill="CFF2FC"/>
          </w:tcPr>
          <w:p>
            <w:pPr>
              <w:spacing w:after="0"/>
              <w:rPr>
                <w:sz w:val="19"/>
                <w:szCs w:val="19"/>
                <w:color w:val="auto"/>
              </w:rPr>
            </w:pPr>
          </w:p>
        </w:tc>
        <w:tc>
          <w:tcPr>
            <w:tcW w:w="168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FF2FC"/>
          </w:tcPr>
          <w:p>
            <w:pPr>
              <w:spacing w:after="0"/>
              <w:rPr>
                <w:sz w:val="19"/>
                <w:szCs w:val="19"/>
                <w:color w:val="auto"/>
              </w:rPr>
            </w:pPr>
          </w:p>
        </w:tc>
        <w:tc>
          <w:tcPr>
            <w:tcW w:w="10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140"/>
              <w:spacing w:after="0"/>
              <w:rPr>
                <w:sz w:val="20"/>
                <w:szCs w:val="20"/>
                <w:color w:val="auto"/>
              </w:rPr>
            </w:pPr>
            <w:r>
              <w:rPr>
                <w:rFonts w:ascii="Arial" w:cs="Arial" w:eastAsia="Arial" w:hAnsi="Arial"/>
                <w:sz w:val="18"/>
                <w:szCs w:val="18"/>
                <w:color w:val="auto"/>
              </w:rPr>
              <w:t>Weighted-average discount rate - operating leases</w:t>
            </w: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60" w:type="dxa"/>
            <w:vAlign w:val="bottom"/>
            <w:gridSpan w:val="3"/>
          </w:tcPr>
          <w:p>
            <w:pPr>
              <w:jc w:val="right"/>
              <w:ind w:right="2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Incremental borrowing rates were used to calculate the present value of the Company’s real estate and equipment leases.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annual minimum lease payments under the Company’s real estate and equipment operating leases as of March 31, 2020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Years ended September 30,</w:t>
            </w:r>
          </w:p>
        </w:tc>
        <w:tc>
          <w:tcPr>
            <w:tcW w:w="3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1660" w:type="dxa"/>
            <w:vAlign w:val="bottom"/>
            <w:tcBorders>
              <w:top w:val="single" w:sz="8" w:color="auto"/>
            </w:tcBorders>
            <w:shd w:val="clear" w:color="auto" w:fill="CFF2FC"/>
          </w:tcPr>
          <w:p>
            <w:pPr>
              <w:ind w:left="140"/>
              <w:spacing w:after="0"/>
              <w:rPr>
                <w:sz w:val="20"/>
                <w:szCs w:val="20"/>
                <w:color w:val="auto"/>
              </w:rPr>
            </w:pPr>
            <w:r>
              <w:rPr>
                <w:rFonts w:ascii="Arial" w:cs="Arial" w:eastAsia="Arial" w:hAnsi="Arial"/>
                <w:sz w:val="18"/>
                <w:szCs w:val="18"/>
                <w:color w:val="auto"/>
              </w:rPr>
              <w:t>2020</w:t>
            </w:r>
          </w:p>
        </w:tc>
        <w:tc>
          <w:tcPr>
            <w:tcW w:w="2900" w:type="dxa"/>
            <w:vAlign w:val="bottom"/>
            <w:shd w:val="clear" w:color="auto" w:fill="CFF2FC"/>
          </w:tcPr>
          <w:p>
            <w:pPr>
              <w:spacing w:after="0"/>
              <w:rPr>
                <w:sz w:val="19"/>
                <w:szCs w:val="19"/>
                <w:color w:val="auto"/>
              </w:rPr>
            </w:pPr>
          </w:p>
        </w:tc>
        <w:tc>
          <w:tcPr>
            <w:tcW w:w="4060" w:type="dxa"/>
            <w:vAlign w:val="bottom"/>
            <w:gridSpan w:val="2"/>
            <w:shd w:val="clear" w:color="auto" w:fill="CFF2FC"/>
          </w:tcPr>
          <w:p>
            <w:pPr>
              <w:jc w:val="right"/>
              <w:ind w:right="407"/>
              <w:spacing w:after="0"/>
              <w:rPr>
                <w:sz w:val="20"/>
                <w:szCs w:val="20"/>
                <w:color w:val="auto"/>
              </w:rPr>
            </w:pPr>
            <w:r>
              <w:rPr>
                <w:rFonts w:ascii="Arial" w:cs="Arial" w:eastAsia="Arial" w:hAnsi="Arial"/>
                <w:sz w:val="18"/>
                <w:szCs w:val="18"/>
                <w:color w:val="auto"/>
              </w:rPr>
              <w:t>$</w:t>
            </w:r>
          </w:p>
        </w:tc>
        <w:tc>
          <w:tcPr>
            <w:tcW w:w="25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2,108</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Arial" w:cs="Arial" w:eastAsia="Arial" w:hAnsi="Arial"/>
                <w:sz w:val="18"/>
                <w:szCs w:val="18"/>
                <w:color w:val="auto"/>
              </w:rPr>
              <w:t>2021</w:t>
            </w:r>
          </w:p>
        </w:tc>
        <w:tc>
          <w:tcPr>
            <w:tcW w:w="29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2022</w:t>
            </w:r>
          </w:p>
        </w:tc>
        <w:tc>
          <w:tcPr>
            <w:tcW w:w="2900" w:type="dxa"/>
            <w:vAlign w:val="bottom"/>
            <w:shd w:val="clear" w:color="auto" w:fill="CFF2FC"/>
          </w:tcPr>
          <w:p>
            <w:pPr>
              <w:spacing w:after="0"/>
              <w:rPr>
                <w:sz w:val="19"/>
                <w:szCs w:val="19"/>
                <w:color w:val="auto"/>
              </w:rPr>
            </w:pPr>
          </w:p>
        </w:tc>
        <w:tc>
          <w:tcPr>
            <w:tcW w:w="3500" w:type="dxa"/>
            <w:vAlign w:val="bottom"/>
            <w:shd w:val="clear" w:color="auto" w:fill="CFF2FC"/>
          </w:tcPr>
          <w:p>
            <w:pPr>
              <w:spacing w:after="0"/>
              <w:rPr>
                <w:sz w:val="19"/>
                <w:szCs w:val="19"/>
                <w:color w:val="auto"/>
              </w:rPr>
            </w:pPr>
          </w:p>
        </w:tc>
        <w:tc>
          <w:tcPr>
            <w:tcW w:w="560" w:type="dxa"/>
            <w:vAlign w:val="bottom"/>
            <w:shd w:val="clear" w:color="auto" w:fill="CFF2FC"/>
          </w:tcPr>
          <w:p>
            <w:pPr>
              <w:spacing w:after="0"/>
              <w:rPr>
                <w:sz w:val="19"/>
                <w:szCs w:val="19"/>
                <w:color w:val="auto"/>
              </w:rPr>
            </w:pPr>
          </w:p>
        </w:tc>
        <w:tc>
          <w:tcPr>
            <w:tcW w:w="25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2,787</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60" w:type="dxa"/>
            <w:vAlign w:val="bottom"/>
          </w:tcPr>
          <w:p>
            <w:pPr>
              <w:ind w:left="140"/>
              <w:spacing w:after="0"/>
              <w:rPr>
                <w:sz w:val="20"/>
                <w:szCs w:val="20"/>
                <w:color w:val="auto"/>
              </w:rPr>
            </w:pPr>
            <w:r>
              <w:rPr>
                <w:rFonts w:ascii="Arial" w:cs="Arial" w:eastAsia="Arial" w:hAnsi="Arial"/>
                <w:sz w:val="18"/>
                <w:szCs w:val="18"/>
                <w:color w:val="auto"/>
              </w:rPr>
              <w:t>2023</w:t>
            </w:r>
          </w:p>
        </w:tc>
        <w:tc>
          <w:tcPr>
            <w:tcW w:w="29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60" w:type="dxa"/>
            <w:vAlign w:val="bottom"/>
            <w:shd w:val="clear" w:color="auto" w:fill="CFF2FC"/>
          </w:tcPr>
          <w:p>
            <w:pPr>
              <w:ind w:left="140"/>
              <w:spacing w:after="0"/>
              <w:rPr>
                <w:sz w:val="20"/>
                <w:szCs w:val="20"/>
                <w:color w:val="auto"/>
              </w:rPr>
            </w:pPr>
            <w:r>
              <w:rPr>
                <w:rFonts w:ascii="Arial" w:cs="Arial" w:eastAsia="Arial" w:hAnsi="Arial"/>
                <w:sz w:val="18"/>
                <w:szCs w:val="18"/>
                <w:color w:val="auto"/>
              </w:rPr>
              <w:t>2024</w:t>
            </w:r>
          </w:p>
        </w:tc>
        <w:tc>
          <w:tcPr>
            <w:tcW w:w="2900" w:type="dxa"/>
            <w:vAlign w:val="bottom"/>
            <w:shd w:val="clear" w:color="auto" w:fill="CFF2FC"/>
          </w:tcPr>
          <w:p>
            <w:pPr>
              <w:spacing w:after="0"/>
              <w:rPr>
                <w:sz w:val="19"/>
                <w:szCs w:val="19"/>
                <w:color w:val="auto"/>
              </w:rPr>
            </w:pPr>
          </w:p>
        </w:tc>
        <w:tc>
          <w:tcPr>
            <w:tcW w:w="3500" w:type="dxa"/>
            <w:vAlign w:val="bottom"/>
            <w:shd w:val="clear" w:color="auto" w:fill="CFF2FC"/>
          </w:tcPr>
          <w:p>
            <w:pPr>
              <w:spacing w:after="0"/>
              <w:rPr>
                <w:sz w:val="19"/>
                <w:szCs w:val="19"/>
                <w:color w:val="auto"/>
              </w:rPr>
            </w:pPr>
          </w:p>
        </w:tc>
        <w:tc>
          <w:tcPr>
            <w:tcW w:w="560" w:type="dxa"/>
            <w:vAlign w:val="bottom"/>
            <w:tcBorders>
              <w:bottom w:val="single" w:sz="8" w:color="auto"/>
            </w:tcBorders>
            <w:shd w:val="clear" w:color="auto" w:fill="CFF2FC"/>
          </w:tcPr>
          <w:p>
            <w:pPr>
              <w:spacing w:after="0"/>
              <w:rPr>
                <w:sz w:val="19"/>
                <w:szCs w:val="19"/>
                <w:color w:val="auto"/>
              </w:rPr>
            </w:pPr>
          </w:p>
        </w:tc>
        <w:tc>
          <w:tcPr>
            <w:tcW w:w="25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519</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gridSpan w:val="2"/>
          </w:tcPr>
          <w:p>
            <w:pPr>
              <w:ind w:left="140"/>
              <w:spacing w:after="0"/>
              <w:rPr>
                <w:sz w:val="20"/>
                <w:szCs w:val="20"/>
                <w:color w:val="auto"/>
              </w:rPr>
            </w:pPr>
            <w:r>
              <w:rPr>
                <w:rFonts w:ascii="Arial" w:cs="Arial" w:eastAsia="Arial" w:hAnsi="Arial"/>
                <w:sz w:val="18"/>
                <w:szCs w:val="18"/>
                <w:color w:val="auto"/>
              </w:rPr>
              <w:t>Total future minimum lease payments</w:t>
            </w:r>
          </w:p>
        </w:tc>
        <w:tc>
          <w:tcPr>
            <w:tcW w:w="3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9,949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FF2FC"/>
          </w:tcPr>
          <w:p>
            <w:pPr>
              <w:ind w:left="140"/>
              <w:spacing w:after="0"/>
              <w:rPr>
                <w:sz w:val="20"/>
                <w:szCs w:val="20"/>
                <w:color w:val="auto"/>
              </w:rPr>
            </w:pPr>
            <w:r>
              <w:rPr>
                <w:rFonts w:ascii="Arial" w:cs="Arial" w:eastAsia="Arial" w:hAnsi="Arial"/>
                <w:sz w:val="18"/>
                <w:szCs w:val="18"/>
                <w:color w:val="auto"/>
              </w:rPr>
              <w:t>Less: imputed interest</w:t>
            </w:r>
          </w:p>
        </w:tc>
        <w:tc>
          <w:tcPr>
            <w:tcW w:w="3500" w:type="dxa"/>
            <w:vAlign w:val="bottom"/>
            <w:shd w:val="clear" w:color="auto" w:fill="CFF2FC"/>
          </w:tcPr>
          <w:p>
            <w:pPr>
              <w:spacing w:after="0"/>
              <w:rPr>
                <w:sz w:val="19"/>
                <w:szCs w:val="19"/>
                <w:color w:val="auto"/>
              </w:rPr>
            </w:pPr>
          </w:p>
        </w:tc>
        <w:tc>
          <w:tcPr>
            <w:tcW w:w="560" w:type="dxa"/>
            <w:vAlign w:val="bottom"/>
            <w:shd w:val="clear" w:color="auto" w:fill="CFF2FC"/>
          </w:tcPr>
          <w:p>
            <w:pPr>
              <w:spacing w:after="0"/>
              <w:rPr>
                <w:sz w:val="19"/>
                <w:szCs w:val="19"/>
                <w:color w:val="auto"/>
              </w:rPr>
            </w:pPr>
          </w:p>
        </w:tc>
        <w:tc>
          <w:tcPr>
            <w:tcW w:w="2620" w:type="dxa"/>
            <w:vAlign w:val="bottom"/>
            <w:gridSpan w:val="2"/>
            <w:shd w:val="clear" w:color="auto" w:fill="CFF2FC"/>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23"/>
        </w:trPr>
        <w:tc>
          <w:tcPr>
            <w:tcW w:w="4560" w:type="dxa"/>
            <w:vAlign w:val="bottom"/>
            <w:gridSpan w:val="2"/>
          </w:tcPr>
          <w:p>
            <w:pPr>
              <w:ind w:left="140"/>
              <w:spacing w:after="0"/>
              <w:rPr>
                <w:sz w:val="20"/>
                <w:szCs w:val="20"/>
                <w:color w:val="auto"/>
              </w:rPr>
            </w:pPr>
            <w:r>
              <w:rPr>
                <w:rFonts w:ascii="Arial" w:cs="Arial" w:eastAsia="Arial" w:hAnsi="Arial"/>
                <w:sz w:val="18"/>
                <w:szCs w:val="18"/>
                <w:color w:val="auto"/>
              </w:rPr>
              <w:t>Total operating lease liabilities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2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gridSpan w:val="2"/>
          </w:tcPr>
          <w:p>
            <w:pPr>
              <w:spacing w:after="0"/>
              <w:rPr>
                <w:sz w:val="20"/>
                <w:szCs w:val="20"/>
                <w:color w:val="auto"/>
              </w:rPr>
            </w:pPr>
            <w:r>
              <w:rPr>
                <w:rFonts w:ascii="Arial" w:cs="Arial" w:eastAsia="Arial" w:hAnsi="Arial"/>
                <w:sz w:val="14"/>
                <w:szCs w:val="14"/>
                <w:b w:val="1"/>
                <w:bCs w:val="1"/>
                <w:color w:val="auto"/>
              </w:rPr>
              <w:t>Included in the balance sheet:</w:t>
            </w:r>
          </w:p>
        </w:tc>
        <w:tc>
          <w:tcPr>
            <w:tcW w:w="35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center"/>
              <w:ind w:right="494"/>
              <w:spacing w:after="0"/>
              <w:rPr>
                <w:sz w:val="20"/>
                <w:szCs w:val="20"/>
                <w:color w:val="auto"/>
              </w:rPr>
            </w:pPr>
            <w:r>
              <w:rPr>
                <w:rFonts w:ascii="Arial" w:cs="Arial" w:eastAsia="Arial" w:hAnsi="Arial"/>
                <w:sz w:val="14"/>
                <w:szCs w:val="14"/>
                <w:b w:val="1"/>
                <w:bCs w:val="1"/>
                <w:color w:val="auto"/>
                <w:w w:val="96"/>
              </w:rPr>
              <w:t>March 31, 2020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6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16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4060" w:type="dxa"/>
            <w:vAlign w:val="bottom"/>
            <w:gridSpan w:val="2"/>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2"/>
            <w:shd w:val="clear" w:color="auto" w:fill="CFF2FC"/>
          </w:tcPr>
          <w:p>
            <w:pPr>
              <w:ind w:left="140"/>
              <w:spacing w:after="0"/>
              <w:rPr>
                <w:sz w:val="20"/>
                <w:szCs w:val="20"/>
                <w:color w:val="auto"/>
              </w:rPr>
            </w:pPr>
            <w:r>
              <w:rPr>
                <w:rFonts w:ascii="Arial" w:cs="Arial" w:eastAsia="Arial" w:hAnsi="Arial"/>
                <w:sz w:val="18"/>
                <w:szCs w:val="18"/>
                <w:color w:val="auto"/>
              </w:rPr>
              <w:t>Current operating lease liabilities</w:t>
            </w:r>
          </w:p>
        </w:tc>
        <w:tc>
          <w:tcPr>
            <w:tcW w:w="4060" w:type="dxa"/>
            <w:vAlign w:val="bottom"/>
            <w:gridSpan w:val="2"/>
            <w:shd w:val="clear" w:color="auto" w:fill="CFF2FC"/>
          </w:tcPr>
          <w:p>
            <w:pPr>
              <w:jc w:val="right"/>
              <w:ind w:right="407"/>
              <w:spacing w:after="0"/>
              <w:rPr>
                <w:sz w:val="20"/>
                <w:szCs w:val="20"/>
                <w:color w:val="auto"/>
              </w:rPr>
            </w:pPr>
            <w:r>
              <w:rPr>
                <w:rFonts w:ascii="Arial" w:cs="Arial" w:eastAsia="Arial" w:hAnsi="Arial"/>
                <w:sz w:val="18"/>
                <w:szCs w:val="18"/>
                <w:color w:val="auto"/>
              </w:rPr>
              <w:t>$</w:t>
            </w:r>
          </w:p>
        </w:tc>
        <w:tc>
          <w:tcPr>
            <w:tcW w:w="250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3,764</w:t>
            </w:r>
          </w:p>
        </w:tc>
        <w:tc>
          <w:tcPr>
            <w:tcW w:w="120" w:type="dxa"/>
            <w:vAlign w:val="bottom"/>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FF2FC"/>
            </w:tcBorders>
            <w:gridSpan w:val="2"/>
          </w:tcPr>
          <w:p>
            <w:pPr>
              <w:ind w:left="140"/>
              <w:spacing w:after="0"/>
              <w:rPr>
                <w:sz w:val="20"/>
                <w:szCs w:val="20"/>
                <w:color w:val="auto"/>
              </w:rPr>
            </w:pPr>
            <w:r>
              <w:rPr>
                <w:rFonts w:ascii="Arial" w:cs="Arial" w:eastAsia="Arial" w:hAnsi="Arial"/>
                <w:sz w:val="18"/>
                <w:szCs w:val="18"/>
                <w:color w:val="auto"/>
              </w:rPr>
              <w:t>Operating lease liabilities, net of current portion</w:t>
            </w:r>
          </w:p>
        </w:tc>
        <w:tc>
          <w:tcPr>
            <w:tcW w:w="3500" w:type="dxa"/>
            <w:vAlign w:val="bottom"/>
            <w:tcBorders>
              <w:bottom w:val="single" w:sz="8" w:color="CFF2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5,330</w:t>
            </w:r>
          </w:p>
        </w:tc>
        <w:tc>
          <w:tcPr>
            <w:tcW w:w="120" w:type="dxa"/>
            <w:vAlign w:val="bottom"/>
            <w:tcBorders>
              <w:bottom w:val="single" w:sz="8" w:color="CFF2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bottom w:val="single" w:sz="8" w:color="CFF2FC"/>
            </w:tcBorders>
            <w:gridSpan w:val="2"/>
            <w:shd w:val="clear" w:color="auto" w:fill="CFF2FC"/>
          </w:tcPr>
          <w:p>
            <w:pPr>
              <w:ind w:left="140"/>
              <w:spacing w:after="0"/>
              <w:rPr>
                <w:sz w:val="20"/>
                <w:szCs w:val="20"/>
                <w:color w:val="auto"/>
              </w:rPr>
            </w:pPr>
            <w:r>
              <w:rPr>
                <w:rFonts w:ascii="Arial" w:cs="Arial" w:eastAsia="Arial" w:hAnsi="Arial"/>
                <w:sz w:val="18"/>
                <w:szCs w:val="18"/>
                <w:color w:val="auto"/>
              </w:rPr>
              <w:t>Total operating lease liabilities</w:t>
            </w:r>
          </w:p>
        </w:tc>
        <w:tc>
          <w:tcPr>
            <w:tcW w:w="3500" w:type="dxa"/>
            <w:vAlign w:val="bottom"/>
            <w:tcBorders>
              <w:bottom w:val="single" w:sz="8" w:color="CFF2FC"/>
            </w:tcBorders>
            <w:shd w:val="clear" w:color="auto" w:fill="CFF2FC"/>
          </w:tcPr>
          <w:p>
            <w:pPr>
              <w:spacing w:after="0"/>
              <w:rPr>
                <w:sz w:val="19"/>
                <w:szCs w:val="19"/>
                <w:color w:val="auto"/>
              </w:rPr>
            </w:pPr>
          </w:p>
        </w:tc>
        <w:tc>
          <w:tcPr>
            <w:tcW w:w="560" w:type="dxa"/>
            <w:vAlign w:val="bottom"/>
            <w:tcBorders>
              <w:bottom w:val="single" w:sz="8" w:color="auto"/>
            </w:tcBorders>
            <w:shd w:val="clear" w:color="auto" w:fill="CFF2FC"/>
          </w:tcPr>
          <w:p>
            <w:pPr>
              <w:jc w:val="right"/>
              <w:ind w:right="407"/>
              <w:spacing w:after="0"/>
              <w:rPr>
                <w:sz w:val="20"/>
                <w:szCs w:val="20"/>
                <w:color w:val="auto"/>
              </w:rPr>
            </w:pPr>
            <w:r>
              <w:rPr>
                <w:rFonts w:ascii="Arial" w:cs="Arial" w:eastAsia="Arial" w:hAnsi="Arial"/>
                <w:sz w:val="15"/>
                <w:szCs w:val="15"/>
                <w:color w:val="auto"/>
                <w:w w:val="71"/>
              </w:rPr>
              <w:t>$</w:t>
            </w:r>
          </w:p>
        </w:tc>
        <w:tc>
          <w:tcPr>
            <w:tcW w:w="2500" w:type="dxa"/>
            <w:vAlign w:val="bottom"/>
            <w:tcBorders>
              <w:bottom w:val="single" w:sz="8" w:color="auto"/>
            </w:tcBorders>
            <w:shd w:val="clear" w:color="auto" w:fill="CFF2FC"/>
          </w:tcPr>
          <w:p>
            <w:pPr>
              <w:jc w:val="right"/>
              <w:spacing w:after="0"/>
              <w:rPr>
                <w:sz w:val="20"/>
                <w:szCs w:val="20"/>
                <w:color w:val="auto"/>
              </w:rPr>
            </w:pPr>
            <w:r>
              <w:rPr>
                <w:rFonts w:ascii="Arial" w:cs="Arial" w:eastAsia="Arial" w:hAnsi="Arial"/>
                <w:sz w:val="18"/>
                <w:szCs w:val="18"/>
                <w:color w:val="auto"/>
              </w:rPr>
              <w:t>9,094</w:t>
            </w:r>
          </w:p>
        </w:tc>
        <w:tc>
          <w:tcPr>
            <w:tcW w:w="120" w:type="dxa"/>
            <w:vAlign w:val="bottom"/>
            <w:tcBorders>
              <w:bottom w:val="single" w:sz="8" w:color="CFF2FC"/>
            </w:tcBorders>
            <w:shd w:val="clear" w:color="auto" w:fill="CFF2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500" w:type="dxa"/>
            <w:vAlign w:val="bottom"/>
            <w:vMerge w:val="restart"/>
          </w:tcPr>
          <w:p>
            <w:pPr>
              <w:jc w:val="right"/>
              <w:ind w:right="2250"/>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66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380"/>
        <w:spacing w:after="0" w:line="308" w:lineRule="auto"/>
        <w:rPr>
          <w:sz w:val="20"/>
          <w:szCs w:val="20"/>
          <w:color w:val="auto"/>
        </w:rPr>
      </w:pPr>
      <w:r>
        <w:rPr>
          <w:rFonts w:ascii="Arial" w:cs="Arial" w:eastAsia="Arial" w:hAnsi="Arial"/>
          <w:sz w:val="17"/>
          <w:szCs w:val="17"/>
          <w:color w:val="auto"/>
        </w:rPr>
        <w:t>As previously disclosed in the Company’s 2019 Annual Report on Form 10-K and under the previous lease accounting standard, ASC 840, Leases, the following table summarizes the future minimum lease payments due under the operating leases as of September 30,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w w:val="91"/>
              </w:rPr>
              <w:t>Years Ended September 30,</w:t>
            </w:r>
          </w:p>
        </w:tc>
        <w:tc>
          <w:tcPr>
            <w:tcW w:w="4860" w:type="dxa"/>
            <w:vAlign w:val="bottom"/>
          </w:tcPr>
          <w:p>
            <w:pPr>
              <w:spacing w:after="0"/>
              <w:rPr>
                <w:sz w:val="14"/>
                <w:szCs w:val="14"/>
                <w:color w:val="auto"/>
              </w:rPr>
            </w:pPr>
          </w:p>
        </w:tc>
        <w:tc>
          <w:tcPr>
            <w:tcW w:w="1680" w:type="dxa"/>
            <w:vAlign w:val="bottom"/>
          </w:tcPr>
          <w:p>
            <w:pPr>
              <w:jc w:val="right"/>
              <w:ind w:right="68"/>
              <w:spacing w:after="0"/>
              <w:rPr>
                <w:sz w:val="20"/>
                <w:szCs w:val="20"/>
                <w:color w:val="auto"/>
              </w:rPr>
            </w:pPr>
            <w:r>
              <w:rPr>
                <w:rFonts w:ascii="Arial" w:cs="Arial" w:eastAsia="Arial" w:hAnsi="Arial"/>
                <w:sz w:val="14"/>
                <w:szCs w:val="14"/>
                <w:b w:val="1"/>
                <w:bCs w:val="1"/>
                <w:color w:val="auto"/>
              </w:rPr>
              <w:t>Operating</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8"/>
              </w:rPr>
              <w:t>Capital</w:t>
            </w:r>
          </w:p>
        </w:tc>
        <w:tc>
          <w:tcPr>
            <w:tcW w:w="0" w:type="dxa"/>
            <w:vAlign w:val="bottom"/>
          </w:tcPr>
          <w:p>
            <w:pPr>
              <w:spacing w:after="0"/>
              <w:rPr>
                <w:sz w:val="1"/>
                <w:szCs w:val="1"/>
                <w:color w:val="auto"/>
              </w:rPr>
            </w:pPr>
          </w:p>
        </w:tc>
      </w:tr>
      <w:tr>
        <w:trPr>
          <w:trHeight w:val="165"/>
        </w:trPr>
        <w:tc>
          <w:tcPr>
            <w:tcW w:w="1700" w:type="dxa"/>
            <w:vAlign w:val="bottom"/>
            <w:vMerge w:val="continue"/>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Leases</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88"/>
              </w:rPr>
              <w:t>Leases</w:t>
            </w:r>
          </w:p>
        </w:tc>
        <w:tc>
          <w:tcPr>
            <w:tcW w:w="0" w:type="dxa"/>
            <w:vAlign w:val="bottom"/>
          </w:tcPr>
          <w:p>
            <w:pPr>
              <w:spacing w:after="0"/>
              <w:rPr>
                <w:sz w:val="1"/>
                <w:szCs w:val="1"/>
                <w:color w:val="auto"/>
              </w:rPr>
            </w:pPr>
          </w:p>
        </w:tc>
      </w:tr>
      <w:tr>
        <w:trPr>
          <w:trHeight w:val="162"/>
        </w:trPr>
        <w:tc>
          <w:tcPr>
            <w:tcW w:w="1700" w:type="dxa"/>
            <w:vAlign w:val="bottom"/>
            <w:tcBorders>
              <w:top w:val="single" w:sz="8" w:color="auto"/>
            </w:tcBorders>
          </w:tcPr>
          <w:p>
            <w:pPr>
              <w:spacing w:after="0"/>
              <w:rPr>
                <w:sz w:val="14"/>
                <w:szCs w:val="14"/>
                <w:color w:val="auto"/>
              </w:rPr>
            </w:pPr>
          </w:p>
        </w:tc>
        <w:tc>
          <w:tcPr>
            <w:tcW w:w="486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2020</w:t>
            </w:r>
          </w:p>
        </w:tc>
        <w:tc>
          <w:tcPr>
            <w:tcW w:w="6540" w:type="dxa"/>
            <w:vAlign w:val="bottom"/>
            <w:gridSpan w:val="2"/>
            <w:shd w:val="clear" w:color="auto" w:fill="CFF0FC"/>
          </w:tcPr>
          <w:p>
            <w:pPr>
              <w:jc w:val="right"/>
              <w:ind w:right="1528"/>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2,728</w:t>
            </w:r>
          </w:p>
        </w:tc>
        <w:tc>
          <w:tcPr>
            <w:tcW w:w="2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2021</w:t>
            </w:r>
          </w:p>
        </w:tc>
        <w:tc>
          <w:tcPr>
            <w:tcW w:w="4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2022</w:t>
            </w:r>
          </w:p>
        </w:tc>
        <w:tc>
          <w:tcPr>
            <w:tcW w:w="48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60"/>
              <w:spacing w:after="0"/>
              <w:rPr>
                <w:sz w:val="20"/>
                <w:szCs w:val="20"/>
                <w:color w:val="auto"/>
              </w:rPr>
            </w:pPr>
            <w:r>
              <w:rPr>
                <w:rFonts w:ascii="Arial" w:cs="Arial" w:eastAsia="Arial" w:hAnsi="Arial"/>
                <w:sz w:val="18"/>
                <w:szCs w:val="18"/>
                <w:color w:val="auto"/>
              </w:rPr>
              <w:t>2023</w:t>
            </w:r>
          </w:p>
        </w:tc>
        <w:tc>
          <w:tcPr>
            <w:tcW w:w="48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w:t>
            </w:r>
          </w:p>
        </w:tc>
        <w:tc>
          <w:tcPr>
            <w:tcW w:w="48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00" w:type="dxa"/>
            <w:vAlign w:val="bottom"/>
          </w:tcPr>
          <w:p>
            <w:pPr>
              <w:ind w:left="260"/>
              <w:spacing w:after="0"/>
              <w:rPr>
                <w:sz w:val="20"/>
                <w:szCs w:val="20"/>
                <w:color w:val="auto"/>
              </w:rPr>
            </w:pPr>
            <w:r>
              <w:rPr>
                <w:rFonts w:ascii="Arial" w:cs="Arial" w:eastAsia="Arial" w:hAnsi="Arial"/>
                <w:sz w:val="18"/>
                <w:szCs w:val="18"/>
                <w:color w:val="auto"/>
              </w:rPr>
              <w:t>Total</w:t>
            </w:r>
          </w:p>
        </w:tc>
        <w:tc>
          <w:tcPr>
            <w:tcW w:w="486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ind w:right="1528"/>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connection with one of the real estate leases, the Company has a total outstanding letter of credit in the amount of $608 as of March 31, 2020 and September 30, 2019, collateralized by a money market account. As of March 31, 2020 and September 30, 2019, the Company classified the $608 related to the money market account as long-term restricted cash.</w:t>
      </w:r>
    </w:p>
    <w:p>
      <w:pPr>
        <w:spacing w:after="0" w:line="328" w:lineRule="exact"/>
        <w:rPr>
          <w:sz w:val="20"/>
          <w:szCs w:val="20"/>
          <w:color w:val="auto"/>
        </w:rPr>
      </w:pPr>
    </w:p>
    <w:p>
      <w:pPr>
        <w:ind w:left="880" w:hanging="872"/>
        <w:spacing w:after="0"/>
        <w:tabs>
          <w:tab w:leader="none" w:pos="8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it has not accrued any liabilities related to such obligations in its financial statements as of March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2019 included in our Annual Report on Form 10-K for that fiscal year which is referred to as our 2019 Form 10-K. Please refer to our note regarding forward-looking statements on page 2 of this Form 10-Q, which is incorporated herein by this reference.</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The Enanta name and logo are our trademarks. This Quarterly Report also includes trademarks, trade names and service marks of other persons. All other trademarks, trade names and service marks appearing in this Quarterly Report are the property of their respective owners.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a biotechnology company that uses our robust, chemistry-driven approach and drug discovery capabilities to create small molecule drugs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leading brand of direct-acting antiviral (DAA) combination treatment for HCV and marketed under the tradenames MAVYRET</w:t>
      </w:r>
      <w:r>
        <w:rPr>
          <w:rFonts w:ascii="Arial" w:cs="Arial" w:eastAsia="Arial" w:hAnsi="Arial"/>
          <w:sz w:val="13"/>
          <w:szCs w:val="13"/>
          <w:color w:val="auto"/>
        </w:rPr>
        <w:t>®</w:t>
      </w:r>
      <w:r>
        <w:rPr>
          <w:rFonts w:ascii="Arial" w:cs="Arial" w:eastAsia="Arial" w:hAnsi="Arial"/>
          <w:sz w:val="16"/>
          <w:szCs w:val="16"/>
          <w:color w:val="auto"/>
        </w:rPr>
        <w:t xml:space="preserve"> (U.S.) and MAVIRET</w:t>
      </w:r>
      <w:r>
        <w:rPr>
          <w:rFonts w:ascii="Arial" w:cs="Arial" w:eastAsia="Arial" w:hAnsi="Arial"/>
          <w:sz w:val="13"/>
          <w:szCs w:val="13"/>
          <w:color w:val="auto"/>
        </w:rPr>
        <w:t>®</w:t>
      </w:r>
      <w:r>
        <w:rPr>
          <w:rFonts w:ascii="Arial" w:cs="Arial" w:eastAsia="Arial" w:hAnsi="Arial"/>
          <w:sz w:val="16"/>
          <w:szCs w:val="16"/>
          <w:color w:val="auto"/>
        </w:rPr>
        <w:t xml:space="preserve"> (ex-U.S.) (glecaprevir/pibrentasvir). Our royalties from our AbbVie collaboration and, to the extent necessary, our existing financial resources, provide us funding to support our wholly-owned research and development programs, which are primarily focused on the following disease targets with the following compounds in clinical development, all of which have been granted Fast Track designation by the U.S. Food and Drug Administration (FDA):</w:t>
      </w:r>
    </w:p>
    <w:p>
      <w:pPr>
        <w:spacing w:after="0" w:line="58" w:lineRule="exact"/>
        <w:rPr>
          <w:sz w:val="20"/>
          <w:szCs w:val="20"/>
          <w:color w:val="auto"/>
        </w:rPr>
      </w:pPr>
    </w:p>
    <w:p>
      <w:pPr>
        <w:ind w:left="1000" w:right="100" w:hanging="493"/>
        <w:spacing w:after="0" w:line="259"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EDP-938, for respiratory syncytial virus, or RSV, infection, the most common cause of bronchiolitis and pneumonia in young children and a significant cause of respiratory illness in older adults, with estimates suggesting that approximately 200,000 hospitalizations in the U.S. and EU occur each year in children under the age of two and approximately 170,000 hospitalizations in these regions occur each year in adults over the age of 65;</w:t>
      </w:r>
    </w:p>
    <w:p>
      <w:pPr>
        <w:spacing w:after="0" w:line="78"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EDP-305, for non-alcoholic steatohepatitis, or NASH, a liver disease estimated to affect approximately 1.5% to 6.5% of the population in the developed world (which translates to approximately 5 to 20 million individuals in the U.S. alone); and</w:t>
      </w:r>
    </w:p>
    <w:p>
      <w:pPr>
        <w:spacing w:after="0" w:line="62"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EDP-514, for hepatitis B virus, or HBV, the most prevalent chronic hepatitis, which is estimated to affect approximately 250 million individuals worldwide.</w:t>
      </w:r>
    </w:p>
    <w:p>
      <w:pPr>
        <w:spacing w:after="0" w:line="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had $435.4 million in cash and marketable securities at March 31, 2020. We expect cash flows from continuing royalties on our HCV products and, to the extent necessary, our existing financial resources, will allow us to continue to fund our wholly owned research and development programs for the foreseeable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Wholly Owned Programs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HBV, human metapneumovirus, or hMPV, and SARS-CoV-2, and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NASH, a non-viral liver disease:</w:t>
      </w:r>
    </w:p>
    <w:p>
      <w:pPr>
        <w:spacing w:after="0" w:line="103" w:lineRule="exact"/>
        <w:rPr>
          <w:sz w:val="20"/>
          <w:szCs w:val="20"/>
          <w:color w:val="auto"/>
        </w:rPr>
      </w:pPr>
    </w:p>
    <w:p>
      <w:pPr>
        <w:ind w:left="1000" w:right="4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RSV, hMPV and SARS-CoV-2:</w:t>
      </w:r>
      <w:r>
        <w:rPr>
          <w:rFonts w:ascii="Arial" w:cs="Arial" w:eastAsia="Arial" w:hAnsi="Arial"/>
          <w:sz w:val="18"/>
          <w:szCs w:val="18"/>
          <w:color w:val="auto"/>
        </w:rPr>
        <w:t xml:space="preserve"> We have a clinical stage program for RSV, for which the lead asset is EDP-938. We recently launched discovery efforts for hMPV, a virus that causes respiratory infection with symptoms similar to RSV, and for SARS-CoV-2, the virus that causes COVID-19.</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19" w:name="page20"/>
    <w:bookmarkEnd w:id="19"/>
    <w:p>
      <w:pPr>
        <w:spacing w:after="0" w:line="308" w:lineRule="auto"/>
        <w:rPr>
          <w:sz w:val="20"/>
          <w:szCs w:val="20"/>
          <w:color w:val="auto"/>
        </w:rPr>
      </w:pPr>
      <w:r>
        <w:rPr>
          <w:rFonts w:ascii="Arial" w:cs="Arial" w:eastAsia="Arial" w:hAnsi="Arial"/>
          <w:sz w:val="17"/>
          <w:szCs w:val="17"/>
          <w:color w:val="auto"/>
        </w:rPr>
        <w:t>We discovered EDP-938, a potent N-protein inhibitor of activity of both major subgroups of RSV, referred to as RSV-A and RSV-B, and have been investigating it as our first clinical candidate for RSV. EDP-938 is the only N-protein inhibitor in clinical development.</w:t>
      </w:r>
    </w:p>
    <w:p>
      <w:pPr>
        <w:spacing w:after="0" w:line="38" w:lineRule="exact"/>
        <w:rPr>
          <w:sz w:val="20"/>
          <w:szCs w:val="20"/>
          <w:color w:val="auto"/>
        </w:rPr>
      </w:pPr>
    </w:p>
    <w:p>
      <w:pPr>
        <w:ind w:left="500" w:right="160" w:hanging="500"/>
        <w:spacing w:after="0" w:line="259" w:lineRule="auto"/>
        <w:tabs>
          <w:tab w:leader="none" w:pos="50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In June 2019, we announced positive topline results from our Phase 2a human challenge study of EDP-938 in healthy adults infected with a specific strain of RSV.</w:t>
      </w:r>
    </w:p>
    <w:p>
      <w:pPr>
        <w:spacing w:after="0" w:line="76" w:lineRule="exact"/>
        <w:rPr>
          <w:rFonts w:ascii="Courier New" w:cs="Courier New" w:eastAsia="Courier New" w:hAnsi="Courier New"/>
          <w:sz w:val="18"/>
          <w:szCs w:val="18"/>
          <w:color w:val="auto"/>
        </w:rPr>
      </w:pPr>
    </w:p>
    <w:p>
      <w:pPr>
        <w:ind w:left="500" w:right="20" w:hanging="500"/>
        <w:spacing w:after="0" w:line="251" w:lineRule="auto"/>
        <w:tabs>
          <w:tab w:leader="none" w:pos="50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In November 2019, we initiated our first Phase 2b study of EDP-938, which is in adult outpatients with community-acquired RSV infection. This study, named RSVP, is designed to help us better understand the feasibility of this direct-acting antiviral (DAA) therapy. We completed dosing for the 2019-2020 winter RSV season in the U.S. and are on track with plans to move the study to the Southern Hemisphere. Given uncertainties created by the spread of COVID-19 in that region, we are also keeping our North American sites ready for reactivation in the fall and winter RSV season and we are planning to add a substantial number of sites in Europe. If we can complete enrollment of the study in the Northern Hemisphere next winter, we would expect to have data in the third calendar quarter of 2021.</w:t>
      </w:r>
    </w:p>
    <w:p>
      <w:pPr>
        <w:spacing w:after="0" w:line="88" w:lineRule="exact"/>
        <w:rPr>
          <w:rFonts w:ascii="Courier New" w:cs="Courier New" w:eastAsia="Courier New" w:hAnsi="Courier New"/>
          <w:sz w:val="18"/>
          <w:szCs w:val="18"/>
          <w:color w:val="auto"/>
        </w:rPr>
      </w:pPr>
    </w:p>
    <w:p>
      <w:pPr>
        <w:ind w:left="500" w:right="20" w:hanging="500"/>
        <w:spacing w:after="0" w:line="287" w:lineRule="auto"/>
        <w:tabs>
          <w:tab w:leader="none" w:pos="500" w:val="left"/>
        </w:tabs>
        <w:numPr>
          <w:ilvl w:val="0"/>
          <w:numId w:val="17"/>
        </w:numPr>
        <w:rPr>
          <w:rFonts w:ascii="Courier New" w:cs="Courier New" w:eastAsia="Courier New" w:hAnsi="Courier New"/>
          <w:sz w:val="16"/>
          <w:szCs w:val="16"/>
          <w:color w:val="auto"/>
        </w:rPr>
      </w:pPr>
      <w:r>
        <w:rPr>
          <w:rFonts w:ascii="Arial" w:cs="Arial" w:eastAsia="Arial" w:hAnsi="Arial"/>
          <w:sz w:val="16"/>
          <w:szCs w:val="16"/>
          <w:color w:val="auto"/>
        </w:rPr>
        <w:t>Concurrent with the RSVP study, we are also planning to initiate two additional RSV studies in the fourth calendar quarter of 2020, one in pediatric patients and one in adult transplant patients who are immune-compromised. Fortunately, to date, it appears the health effects of COVID-19 in children generally have not been as severe as in adults, and we anticipate parents will continue to take ill children to a doctor even if the pandemic continues into the fall and winter RSV season in the Northern Hemisphere. Further, we expect that adult transplant patients will be on high alert for respiratory illness and, given their immune-suppressed condition, we hope they would be willing to participate in a clinical study if it can be performed in a way that does not increase their risk of COVID-19 infection. However, we recognize there are potentially other challenges for the transplant study, including fluctuations in the number of transplants being performed, which will depend on how the pandemic evolves later in the year.</w:t>
      </w:r>
    </w:p>
    <w:p>
      <w:pPr>
        <w:spacing w:after="0" w:line="5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Since announcing our new drug discovery program for hMPV in January 2020, we are currently optimizing nanomolar inhibitor leads against this virus and are working toward identifying our first clinical candidate for this indication.</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Additionally, in March 2020, we announced new discovery efforts for the treatment of COVID-19, taking a two-pronged approach. We are testing compounds from our antiviral compound library for potential activity against SARS-CoV-2, as well as initiating a drug discovery program using our expertise in direct-acting antiviral mechanisms to discover new compounds to treat COVID-19.</w:t>
      </w:r>
    </w:p>
    <w:p>
      <w:pPr>
        <w:spacing w:after="0" w:line="57"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u w:val="single" w:color="auto"/>
          <w:color w:val="auto"/>
        </w:rPr>
        <w:t>NASH:</w:t>
      </w:r>
      <w:r>
        <w:rPr>
          <w:rFonts w:ascii="Arial" w:cs="Arial" w:eastAsia="Arial" w:hAnsi="Arial"/>
          <w:sz w:val="17"/>
          <w:szCs w:val="17"/>
          <w:color w:val="auto"/>
        </w:rPr>
        <w:t xml:space="preserve"> We are working on compounds EDP-305 and EDP-297, referred to as FXR agonists, that selectively bind to and activate the Farnesoid X receptor, or FXR. These compounds represent a class of FXR agonists designed to take advantage of increased binding interactions with this receptor. FXR agonists have shown efficacy in NASH and we believe that this mechanism has promise as an important component in potential combination therapies for NASH. We plan to develop at least one of these compounds primarily for use in combination treatments of NASH, a liver disease with very few therapeutic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-701675</wp:posOffset>
            </wp:positionV>
            <wp:extent cx="570928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09285" cy="128905"/>
                    </a:xfrm>
                    <a:prstGeom prst="rect">
                      <a:avLst/>
                    </a:prstGeom>
                    <a:noFill/>
                  </pic:spPr>
                </pic:pic>
              </a:graphicData>
            </a:graphic>
          </wp:anchor>
        </w:drawing>
      </w:r>
    </w:p>
    <w:p>
      <w:pPr>
        <w:spacing w:after="0" w:line="48" w:lineRule="exact"/>
        <w:rPr>
          <w:sz w:val="20"/>
          <w:szCs w:val="20"/>
          <w:color w:val="auto"/>
        </w:rPr>
      </w:pPr>
    </w:p>
    <w:p>
      <w:pPr>
        <w:ind w:left="500" w:right="60" w:hanging="500"/>
        <w:spacing w:after="0" w:line="251" w:lineRule="auto"/>
        <w:tabs>
          <w:tab w:leader="none" w:pos="5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We were ready to initiate dosing of a 72-week Phase 2b study, named ARGON-2, with histological endpoints, including fibrosis in biopsy-confirmed NASH patients treated with EDP-305 or placebo in March 2020. However, due to the COVID-19 pandemic, we have paused recruitment and dosing of the study. We are hopeful we can resume this trial within the next couple of months, depending on whether enough of our clinical trial sites for this study are able to open in the context of COVID-19. The study will include an interim analysis to enhance our ability to seek opportunities more quickly for development of EDP-305 in combinations with other mechanisms for NASH.</w:t>
      </w:r>
    </w:p>
    <w:p>
      <w:pPr>
        <w:spacing w:after="0" w:line="88" w:lineRule="exact"/>
        <w:rPr>
          <w:rFonts w:ascii="Courier New" w:cs="Courier New" w:eastAsia="Courier New" w:hAnsi="Courier New"/>
          <w:sz w:val="18"/>
          <w:szCs w:val="18"/>
          <w:color w:val="auto"/>
        </w:rPr>
      </w:pPr>
    </w:p>
    <w:p>
      <w:pPr>
        <w:ind w:left="500" w:right="160" w:hanging="500"/>
        <w:spacing w:after="0" w:line="289" w:lineRule="auto"/>
        <w:tabs>
          <w:tab w:leader="none" w:pos="50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We also plan to initiate Phase 1 development of EDP-297 later in the third calendar quarter of 2020, subject to a determination that it is safe to initiate the healthy volunteer study at the trial site in the context of the COVID-19 pandemic.</w:t>
      </w:r>
    </w:p>
    <w:p>
      <w:pPr>
        <w:spacing w:after="0" w:line="51" w:lineRule="exact"/>
        <w:rPr>
          <w:rFonts w:ascii="Courier New" w:cs="Courier New" w:eastAsia="Courier New" w:hAnsi="Courier New"/>
          <w:sz w:val="17"/>
          <w:szCs w:val="17"/>
          <w:color w:val="auto"/>
        </w:rPr>
      </w:pPr>
    </w:p>
    <w:p>
      <w:pPr>
        <w:ind w:left="500" w:right="160" w:hanging="500"/>
        <w:spacing w:after="0" w:line="259" w:lineRule="auto"/>
        <w:tabs>
          <w:tab w:leader="none" w:pos="500" w:val="left"/>
        </w:tabs>
        <w:numPr>
          <w:ilvl w:val="0"/>
          <w:numId w:val="18"/>
        </w:numPr>
        <w:rPr>
          <w:rFonts w:ascii="Courier New" w:cs="Courier New" w:eastAsia="Courier New" w:hAnsi="Courier New"/>
          <w:sz w:val="18"/>
          <w:szCs w:val="18"/>
          <w:color w:val="auto"/>
        </w:rPr>
      </w:pPr>
      <w:r>
        <w:rPr>
          <w:rFonts w:ascii="Arial" w:cs="Arial" w:eastAsia="Arial" w:hAnsi="Arial"/>
          <w:sz w:val="18"/>
          <w:szCs w:val="18"/>
          <w:color w:val="auto"/>
        </w:rPr>
        <w:t>In addition, we have been pursuing research in other mechanisms that may provide therapeutic benefit in NASH, any of which could be used in combination with an FXR agonist or other therapies for NASH.</w:t>
      </w:r>
    </w:p>
    <w:p>
      <w:pPr>
        <w:spacing w:after="0" w:line="76" w:lineRule="exact"/>
        <w:rPr>
          <w:rFonts w:ascii="Courier New" w:cs="Courier New" w:eastAsia="Courier New" w:hAnsi="Courier New"/>
          <w:sz w:val="18"/>
          <w:szCs w:val="18"/>
          <w:color w:val="auto"/>
        </w:rPr>
      </w:pPr>
    </w:p>
    <w:p>
      <w:pPr>
        <w:ind w:left="500" w:right="40" w:hanging="500"/>
        <w:spacing w:after="0" w:line="268" w:lineRule="auto"/>
        <w:tabs>
          <w:tab w:leader="none" w:pos="50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We also have completed a Phase 2a study, named INTREPID, to assess the safety, tolerability, pharmacokinetics and efficacy of EDP-305 in subjects with primary biliary cholangitis, or PBC. While the INTREPID study did not meet the primary endpoint in subjects with PBC in the intent-to-treat analysis (ITT), as defined by at least a 20% reduction in ALP, several key biomarkers across the two dosing arms had statistically highly significant changes compared to the placebo arm, demonstrating strong target engagement of the FXR mechanism by EDP-305. However, rather than conducting further dose selection studies with EDP-305 in PBC, a disease for which there is already an approved second-line FXR agonist therapy and for which generic fibrates are showing benefit in some studies, we intend to devote our future efforts with EDP-305 only to NASH.</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449" w:right="339" w:bottom="1440" w:gutter="0" w:footer="0" w:header="0"/>
        </w:sectPr>
      </w:pPr>
    </w:p>
    <w:bookmarkStart w:id="20" w:name="page21"/>
    <w:bookmarkEnd w:id="20"/>
    <w:p>
      <w:pPr>
        <w:ind w:left="1000" w:right="1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HBV:</w:t>
      </w:r>
      <w:r>
        <w:rPr>
          <w:rFonts w:ascii="Arial" w:cs="Arial" w:eastAsia="Arial" w:hAnsi="Arial"/>
          <w:sz w:val="18"/>
          <w:szCs w:val="18"/>
          <w:color w:val="auto"/>
        </w:rPr>
        <w:t xml:space="preserve"> In July 2019, we announced initiation of a Phase 1a/1b clinical study of EDP-514, our lead core inhibitor for the treatment of hepatitis B virus (HBV).</w:t>
      </w:r>
    </w:p>
    <w:p>
      <w:pPr>
        <w:spacing w:after="0" w:line="62" w:lineRule="exact"/>
        <w:rPr>
          <w:rFonts w:ascii="Arial" w:cs="Arial" w:eastAsia="Arial" w:hAnsi="Arial"/>
          <w:sz w:val="18"/>
          <w:szCs w:val="18"/>
          <w:color w:val="auto"/>
        </w:rPr>
      </w:pPr>
    </w:p>
    <w:p>
      <w:pPr>
        <w:jc w:val="both"/>
        <w:ind w:left="1520" w:right="240" w:hanging="500"/>
        <w:spacing w:after="0" w:line="301"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The randomized, double-blind, placebo-controlled Phase 1a/1b study is designed to evaluate first the safety, tolerability and pharmacokinetics (PK) of single ascending doses (SAD) and multiple ascending doses (MAD) of EDP-514 in healthy subjects, and then the antiviral activity of EDP-514 in patients with chronic HBV infection that are being suppressed with nucleos(t)ide-reverse-transcriptase treatment – the current standard of care, whom we refer to as nuc-suppressed HBV patients.</w:t>
      </w:r>
    </w:p>
    <w:p>
      <w:pPr>
        <w:spacing w:after="0" w:line="49" w:lineRule="exact"/>
        <w:rPr>
          <w:rFonts w:ascii="Arial" w:cs="Arial" w:eastAsia="Arial" w:hAnsi="Arial"/>
          <w:sz w:val="18"/>
          <w:szCs w:val="18"/>
          <w:color w:val="auto"/>
        </w:rPr>
      </w:pPr>
    </w:p>
    <w:p>
      <w:pPr>
        <w:ind w:left="1520" w:right="40" w:hanging="500"/>
        <w:spacing w:after="0" w:line="301"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The SAD and MAD part of the study (Part 1) has been completed successfully. Overall, EDP-514 demonstrated a favorable safety profile in healthy subjects for up to 14 days and was well tolerated with all treatment emergent adverse events being mild in intensity and with no discontinuations due to adverse events. Further, there were no significant individual laboratory data findings or pattern of abnormalities and EDP-514’s pharmacokinetic profile demonstrated good blood levels that support once-daily dosing.</w:t>
      </w:r>
    </w:p>
    <w:p>
      <w:pPr>
        <w:spacing w:after="0" w:line="49" w:lineRule="exact"/>
        <w:rPr>
          <w:rFonts w:ascii="Arial" w:cs="Arial" w:eastAsia="Arial" w:hAnsi="Arial"/>
          <w:sz w:val="18"/>
          <w:szCs w:val="18"/>
          <w:color w:val="auto"/>
        </w:rPr>
      </w:pPr>
    </w:p>
    <w:p>
      <w:pPr>
        <w:ind w:left="1520" w:right="20" w:hanging="500"/>
        <w:spacing w:after="0" w:line="259" w:lineRule="auto"/>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8"/>
          <w:szCs w:val="18"/>
          <w:color w:val="auto"/>
        </w:rPr>
        <w:t>Based on these results, we initiated Part 2 of the study to evaluate EDP-514 in nuc-suppressed patients in the first quarter of calendar 2020. However, due to the COVID-19 pandemic, we have paused recruitment of this study. We are regularly evaluating the circumstances around this study and are hoping to resume enrollment within the next couple of months, depending on whether enough of our clinical sites are able to open.</w:t>
      </w:r>
    </w:p>
    <w:p>
      <w:pPr>
        <w:spacing w:after="0" w:line="79" w:lineRule="exact"/>
        <w:rPr>
          <w:sz w:val="20"/>
          <w:szCs w:val="20"/>
          <w:color w:val="auto"/>
        </w:rPr>
      </w:pPr>
    </w:p>
    <w:p>
      <w:pPr>
        <w:ind w:left="1520" w:hanging="500"/>
        <w:spacing w:after="0" w:line="323" w:lineRule="auto"/>
        <w:tabs>
          <w:tab w:leader="none" w:pos="1520" w:val="left"/>
        </w:tabs>
        <w:numPr>
          <w:ilvl w:val="0"/>
          <w:numId w:val="20"/>
        </w:numPr>
        <w:rPr>
          <w:rFonts w:ascii="Courier New" w:cs="Courier New" w:eastAsia="Courier New" w:hAnsi="Courier New"/>
          <w:sz w:val="16"/>
          <w:szCs w:val="16"/>
          <w:color w:val="auto"/>
        </w:rPr>
      </w:pPr>
      <w:r>
        <w:rPr>
          <w:rFonts w:ascii="Arial" w:cs="Arial" w:eastAsia="Arial" w:hAnsi="Arial"/>
          <w:sz w:val="16"/>
          <w:szCs w:val="16"/>
          <w:color w:val="auto"/>
        </w:rPr>
        <w:t>Finally, in the second calendar quarter of 2020, we are also planning to initiate a separate Phase 1b study in patients with chronic HBV infection who are not on HBV therapy and have high levels of virus in their blood, whom we refer to as viremic HBV patients.</w:t>
      </w:r>
    </w:p>
    <w:p>
      <w:pPr>
        <w:spacing w:after="0" w:line="2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have utilized our internal chemistry and drug discovery capabilities to generate all of our development-stage programs. We continue to invest substantial resources in research programs to discover back-up compounds as well as new compounds targeting different mechanisms of action, both in our disease areas of focus as well as potentially in other disease areas.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Out-Licensed Products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Through our Collaborative Development and License Agreement with AbbVie, we have discovered and out-licensed to AbbVie two protease inhibitor compounds that have been clinically tested, manufactured, and commercialized by AbbVie as part of its combination regimens for HCV. We have earned all $330.0 million milestone payments under the agreement related to clinical development and commercialization regulatory approvals of these regimens in major markets.</w:t>
      </w:r>
    </w:p>
    <w:p>
      <w:pPr>
        <w:spacing w:after="0" w:line="79" w:lineRule="exact"/>
        <w:rPr>
          <w:sz w:val="20"/>
          <w:szCs w:val="20"/>
          <w:color w:val="auto"/>
        </w:rPr>
      </w:pPr>
    </w:p>
    <w:p>
      <w:pPr>
        <w:ind w:left="1000" w:right="160" w:hanging="493"/>
        <w:spacing w:after="0" w:line="272"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Glecaprevir is the protease inhibitor we discovered that was developed by AbbVie in a fixed-dose combination with its NS5A inhibitor, pibrentasvir, for the treatment of HCV. This patented combination, currently marketed under the brand names MAVYRET</w:t>
      </w:r>
      <w:r>
        <w:rPr>
          <w:rFonts w:ascii="Arial" w:cs="Arial" w:eastAsia="Arial" w:hAnsi="Arial"/>
          <w:sz w:val="14"/>
          <w:szCs w:val="14"/>
          <w:color w:val="auto"/>
        </w:rPr>
        <w:t>®</w:t>
      </w:r>
      <w:r>
        <w:rPr>
          <w:rFonts w:ascii="Arial" w:cs="Arial" w:eastAsia="Arial" w:hAnsi="Arial"/>
          <w:sz w:val="17"/>
          <w:szCs w:val="17"/>
          <w:color w:val="auto"/>
        </w:rPr>
        <w:t xml:space="preserve"> (U.S.) and MAVIRET</w:t>
      </w:r>
      <w:r>
        <w:rPr>
          <w:rFonts w:ascii="Arial" w:cs="Arial" w:eastAsia="Arial" w:hAnsi="Arial"/>
          <w:sz w:val="14"/>
          <w:szCs w:val="14"/>
          <w:color w:val="auto"/>
        </w:rPr>
        <w:t>®</w:t>
      </w:r>
      <w:r>
        <w:rPr>
          <w:rFonts w:ascii="Arial" w:cs="Arial" w:eastAsia="Arial" w:hAnsi="Arial"/>
          <w:sz w:val="17"/>
          <w:szCs w:val="17"/>
          <w:color w:val="auto"/>
        </w:rPr>
        <w:t xml:space="preserve"> (ex-U.S.) is referred to in this report as MAVYRET/MAVIRET. This regimen is a novel, once daily, all oral, fixed-dose, ribavirin-free treatment for HCV genotypes 1-6, or GT1-6, which is referred to as being pan-genotypic. In the U.S., EU and Japan it is approved as an 8-week treatment for patients with and without compensated cirrhosis and new to treatment. Today, these patients are estimated to represent the majority of HCV patients in the developed country markets where MAVYRET/MAVIRET is sold by AbbVie and where MAVYRET/MAVIRET remains the only 8-week pan-genotypic HCV treatment.</w:t>
      </w:r>
    </w:p>
    <w:p>
      <w:pPr>
        <w:spacing w:after="0" w:line="69" w:lineRule="exact"/>
        <w:rPr>
          <w:rFonts w:ascii="Arial" w:cs="Arial" w:eastAsia="Arial" w:hAnsi="Arial"/>
          <w:sz w:val="17"/>
          <w:szCs w:val="17"/>
          <w:color w:val="auto"/>
        </w:rPr>
      </w:pPr>
    </w:p>
    <w:p>
      <w:pPr>
        <w:ind w:left="1000" w:hanging="493"/>
        <w:spacing w:after="0" w:line="25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Since August 2017, substantially all of our royalty revenue has been derived from AbbVie’s net sales of MAVYRET/MAVIRET. Our ongoing royalty revenues from this regimen consist of annually tiered, double-digit, per-product royalties on 50% of the calendar year net sales of the 2-DAA glecaprevir/pibrentasvir combination in MAVYRET/MAVIRET. These royalties are calculated separately from the royalties on AbbVie’s paritaprevir-containing regimens, and the annual royalty tiers for each product return to the lowest tier for sales on and after each January 1.</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The following table summarizes our product development pipeline in our liver disease and virology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288925</wp:posOffset>
            </wp:positionV>
            <wp:extent cx="6043295" cy="45345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43295" cy="453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current COVID-19 pandemic has presented substantial challenges for public health and economies around the world, and it is affecting our clinical trials and business operations, as well as the U.S. financial markets. The full extent to which the COVID-19 pandemic will directly or indirectly impact our business, results of operations and financial condition will depend on future developments that are highly uncertain and cannot be accurately predicted, including new information that may emerge concerning COVID-19 and public health actions taken to contain it, as well as the cumulative economic impact of both of those factors.</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continuing to assess the potential impact of the COVID-19 pandemic on our business and operations, including our expenses, clinical trials and royalty revenues. Our employees have been working from home since early March 2020, including personnel in our laboratories, which has reduced to some extent our spending on laboratory operations. Since our third-party contract manufacturing partners continue to operate at or near normal levels producing drug substance and drug product for our research and clinical development programs, we currently do not anticipate any material interruptions in our supply chain, but it is possible that may change. We have paused enrollment in our two ongoing clinical trials, including ARGON-2 which had only just been initiated and had not yet enrolled any patients. While we are continuing with plans to initiate four additional clinical trials before the end of calendar 2020, it is unclear what impact, if any, the COVID-19 pandemic may have on the timeline for initiation and completion of all or any of these clinical trials, including the ones that are currently paused.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line="257" w:lineRule="auto"/>
        <w:rPr>
          <w:sz w:val="20"/>
          <w:szCs w:val="20"/>
          <w:color w:val="auto"/>
        </w:rPr>
      </w:pPr>
      <w:r>
        <w:rPr>
          <w:rFonts w:ascii="Arial" w:cs="Arial" w:eastAsia="Arial" w:hAnsi="Arial"/>
          <w:sz w:val="18"/>
          <w:szCs w:val="18"/>
          <w:color w:val="auto"/>
        </w:rPr>
        <w:t>With regard to our royalty revenue, on May 1, 2020 AbbVie reduced its calendar 2020 HCV sales estimate from $2.5 billion to $2.3 billion, noting it was due in part to lower patient volumes in select international markets where patients are treated in hospitals affected by COVID-19. While the evolving impact of COVID-19 will likely continue to affect aspects of our business, including those described above, we remain capable of funding our research and development programs for the foreseeable future with the current level of royalty revenue and our existing cash and short-term and long-term investments, which totaled $435.4 million at March 31, 2020.</w:t>
      </w:r>
    </w:p>
    <w:p>
      <w:pPr>
        <w:spacing w:after="0" w:line="8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Please see Item 1A “Risk Factors” in this quarterly report for additional discussion of risks and potential risks of the COVID-19 pandemic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currently funding all research and development for our wholly-owned programs, which are targeted towards the discovery and development of novel compounds for the treatment of viral infections and liver diseases. As of May 2020, we have completed the RSV season in the U.S. in our RSVP study, and are on track with plans to move this Phase 2b study to the Southern Hemisphere. Given uncertainties created by the spread of COVID-19 in that region, we are also keeping our North American sites ready for reactivation in the fall and winter RSV season and we are planning to add a substantial number of sites in Europe for that season. If we can complete enrollment of the study in the Northern Hemisphere next winter, we would expect to have data in the third calendar quarter of 2021. We also plan to initiate additional Phase 2 RSV studies in the fourth calendar quarter of 2020, one in pediatric patients and a second in adult transplant patients.</w:t>
      </w:r>
    </w:p>
    <w:p>
      <w:pPr>
        <w:spacing w:after="0" w:line="69"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the first calendar quarter of 2020, we announced data from our Phase 1 study of EDP-514 in healthy volunteers and initiated a Phase 1b study in nuc-suppressed HBV patients. Recruitment for this study was paused due to the COVID-19 pandemic. We are regularly evaluating the circumstances around this study and are hoping to resume enrollment within the next two months depending on when our clinical trial sites are able to open. We also plan to initiate a separate Phase 1b study of EDP-514 in the second calendar quarter of 2020 in viremic HBV patients.</w:t>
      </w:r>
    </w:p>
    <w:p>
      <w:pPr>
        <w:spacing w:after="0" w:line="6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Regarding NASH, we were ready to initiate our ARGON-2 study of EDP-305 in NASH patients in March 2020, but we paused that study due to the COVID-19 pandemic. We are hopeful that we will be able to resume this trial within the next two months, depending on whether enough of our clinical trial sites for this study are able to open in the context of the COVID-19 pandemic. We also plan to start a Phase 1 study of EDP-297, our FXR follow-on development candidate, in the third calendar quarter of 2020.</w:t>
      </w:r>
    </w:p>
    <w:p>
      <w:pPr>
        <w:spacing w:after="0" w:line="79"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As a result of our clinical development programs, as well as efforts to advance other compounds into preclinical development, we expect to incur greater expenses in fiscal 2020 than in 2019 as we continue to advance our RSV, NASH, HBV, hMPV, and SARS CoV-2, programs. However if the COVID-19 pandemic slows down our development programs, it will reduce our spending in those areas in the near term.</w:t>
      </w:r>
    </w:p>
    <w:p>
      <w:pPr>
        <w:spacing w:after="0" w:line="5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We are funding our operations primarily through payments received under our collaboration agreement with AbbVie and, to the extent necessary, our existing cash, cash equivalents, and short-term and long-term marketable securities. Our revenue is currently dependent on royalty payments we receive from AbbVie on its sales of MAVYRET/MAVIRET. AbbVie has guided that it expects its calendar 2020 HCV sales will be approximately $2.3 billion.</w:t>
      </w:r>
    </w:p>
    <w:p>
      <w:pPr>
        <w:spacing w:after="0" w:line="4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Given the uncertainty regarding the level of AbbVie’s future MAVYRET/MAVIRET sales that will generate our royalty revenue, the development risks affecting the extent and timing of our future expenditures for the advancement of our internally developed compounds and any further impact of the ongoing COVID-19 pandemic, it is uncertain whether our revenues will exceed our expenses in future quarters.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revenue consists of royalties received under our collaboration agreement with AbbVie, substantially all of which are now derived from sales of MAVYRET/MAVIRET. Under the terms of our AbbVie agreement, we earn annually tiered, double-digit royalties on the 50% of AbbVie’s net sales of MAVYRET/MAVIRET allocated to glecaprevir. Beginning with each January 1, the cumulative net sales of each royalty-bearing product start at zero for purposes of calculating the tiered royalties on a product-by-product basis.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expect all of our revenue in fiscal 2020 to be generated from royalties received under our collaboration agreement with AbbVie. There are no further milestones expected to be earned under the agreement.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Internal Programs</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As our internal product candidates are currently in Phase 1 or Phase 2 clinical development, we have not generated any revenue from our own product sales and do not expect to generate any revenue from product sales derived from these product candidates for at least the next several years.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and six months ended March 31, 2020 and 2019:</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99"/>
              </w:rPr>
              <w:t>March 31,</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69,033</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13,805</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39,494</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40,935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79,193</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82,965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76" w:lineRule="exact"/>
        <w:rPr>
          <w:sz w:val="20"/>
          <w:szCs w:val="20"/>
          <w:color w:val="auto"/>
        </w:rPr>
      </w:pPr>
    </w:p>
    <w:p>
      <w:pPr>
        <w:ind w:left="1000" w:right="78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212529"/>
        </w:rPr>
        <w:t>personnel costs, including salaries, related benefits and stock-based compensation for employees engaged in scientific research and development functions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laboratory consumables;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allocated facility-related costs;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1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research and development programs.</w:t>
      </w:r>
    </w:p>
    <w:p>
      <w:pPr>
        <w:spacing w:after="0" w:line="5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63"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expect that general and administrative expenses will increase in the future primarily due to the ongoing expansion of our operating activities in support of our own research and development programs, as well as potential additional costs associated with operating a growing publicly traded company.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Other income (expense), net consists of interest income, interest expense and the change in fair value of our outstanding Series 1 nonconvertible preferred stock. Interest income consists of interest earned on our cash equivalents and short-term and long-term marketable securities balances as well as interest earned for any refunds received from tax authorities.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Income tax (expense) benefit is based on our best estimate of applicable income tax rates, net research and development tax credits and deferred income taxes, for the entire fiscal year applied to pre-tax profit or loss reported for the year-to-date period, except when a reliable estimate of the annual effective tax rate cannot be made and we instead use the year-to-date effective tax rate.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2020 and 2019</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78"/>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98"/>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jc w:val="center"/>
              <w:ind w:left="37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Royalty revenue</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27,619</w:t>
            </w:r>
          </w:p>
        </w:tc>
        <w:tc>
          <w:tcPr>
            <w:tcW w:w="5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39,631</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32,610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34,155</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6,884</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6,780</w:t>
            </w:r>
          </w:p>
        </w:tc>
        <w:tc>
          <w:tcPr>
            <w:tcW w:w="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1,950</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2,245</w:t>
            </w:r>
          </w:p>
        </w:tc>
        <w:tc>
          <w:tcPr>
            <w:tcW w:w="80" w:type="dxa"/>
            <w:vAlign w:val="bottom"/>
          </w:tcPr>
          <w:p>
            <w:pPr>
              <w:spacing w:after="0"/>
              <w:rPr>
                <w:sz w:val="19"/>
                <w:szCs w:val="19"/>
                <w:color w:val="auto"/>
              </w:rPr>
            </w:pPr>
          </w:p>
        </w:tc>
      </w:tr>
      <w:tr>
        <w:trPr>
          <w:trHeight w:val="229"/>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Income tax benefit</w:t>
            </w:r>
          </w:p>
        </w:tc>
        <w:tc>
          <w:tcPr>
            <w:tcW w:w="1660" w:type="dxa"/>
            <w:vAlign w:val="bottom"/>
            <w:shd w:val="clear" w:color="auto" w:fill="CFF0FC"/>
          </w:tcPr>
          <w:p>
            <w:pPr>
              <w:spacing w:after="0"/>
              <w:rPr>
                <w:sz w:val="19"/>
                <w:szCs w:val="19"/>
                <w:color w:val="auto"/>
              </w:rPr>
            </w:pPr>
          </w:p>
        </w:tc>
        <w:tc>
          <w:tcPr>
            <w:tcW w:w="260" w:type="dxa"/>
            <w:vAlign w:val="bottom"/>
            <w:shd w:val="clear" w:color="auto" w:fill="CFF2FC"/>
          </w:tcPr>
          <w:p>
            <w:pPr>
              <w:spacing w:after="0"/>
              <w:rPr>
                <w:sz w:val="19"/>
                <w:szCs w:val="19"/>
                <w:color w:val="auto"/>
              </w:rPr>
            </w:pPr>
          </w:p>
        </w:tc>
        <w:tc>
          <w:tcPr>
            <w:tcW w:w="920" w:type="dxa"/>
            <w:vAlign w:val="bottom"/>
            <w:shd w:val="clear" w:color="auto" w:fill="CFF2FC"/>
          </w:tcPr>
          <w:p>
            <w:pPr>
              <w:jc w:val="right"/>
              <w:spacing w:after="0"/>
              <w:rPr>
                <w:sz w:val="20"/>
                <w:szCs w:val="20"/>
                <w:color w:val="auto"/>
              </w:rPr>
            </w:pPr>
            <w:r>
              <w:rPr>
                <w:rFonts w:ascii="Arial" w:cs="Arial" w:eastAsia="Arial" w:hAnsi="Arial"/>
                <w:sz w:val="18"/>
                <w:szCs w:val="18"/>
                <w:color w:val="auto"/>
              </w:rPr>
              <w:t>3,920</w:t>
            </w: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w:t>
            </w:r>
          </w:p>
        </w:tc>
        <w:tc>
          <w:tcPr>
            <w:tcW w:w="80" w:type="dxa"/>
            <w:vAlign w:val="bottom"/>
            <w:shd w:val="clear" w:color="auto" w:fill="CFF0FC"/>
          </w:tcPr>
          <w:p>
            <w:pPr>
              <w:spacing w:after="0"/>
              <w:rPr>
                <w:sz w:val="19"/>
                <w:szCs w:val="19"/>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ind w:right="380"/>
        <w:spacing w:after="0" w:line="275" w:lineRule="auto"/>
        <w:rPr>
          <w:sz w:val="20"/>
          <w:szCs w:val="20"/>
          <w:color w:val="auto"/>
        </w:rPr>
      </w:pPr>
      <w:r>
        <w:rPr>
          <w:rFonts w:ascii="Arial" w:cs="Arial" w:eastAsia="Arial" w:hAnsi="Arial"/>
          <w:sz w:val="17"/>
          <w:szCs w:val="17"/>
          <w:color w:val="auto"/>
        </w:rPr>
        <w:t>Our revenue consists of royalties received under our collaboration agreement with AbbVie, substantially all of which are now derived from sales of MAVYRET/MAVIRET. We are entitled to annually tiered, double-digit, per-product royalties on 50% of all net sales of MAVYRET/MAVIRET. Our royalty revenues eligible to be earned in the future will potentially fluctuate depending on AbbVie’s HCV market share, the pricing of the MAVYRET/MAVIRET regimen and the number of patients treated with that regimen. Beginning with each January 1, the cumulative net sales of each royalty-bearing product start at zero for purposes of calculating the tiered royalties on a product-by-product basis.</w:t>
      </w:r>
    </w:p>
    <w:p>
      <w:pPr>
        <w:spacing w:after="0" w:line="6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recognized royalty revenue of $27.6 million during the three months ended March 31, 2020 as compared to $39.6 million during the three months ended March 31, 2019. In May 2020, AbbVie reported that the decrease in its calendar 2020 HCV sales was due to lower patient volumes in select international markets where patients are treated in hospitals affected by COVID-19, as well as increased competition affecting pricing and market share within the U.S. Managed Medicaid segment. In light of these factors, AbbVie has guided that it expects its calendar 2020 HCV sales will be approximately $2.3 billion.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left="379"/>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3"/>
          </w:tcPr>
          <w:p>
            <w:pPr>
              <w:jc w:val="center"/>
              <w:ind w:left="37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Pr>
          <w:p>
            <w:pPr>
              <w:ind w:left="240"/>
              <w:spacing w:after="0"/>
              <w:rPr>
                <w:sz w:val="20"/>
                <w:szCs w:val="20"/>
                <w:color w:val="auto"/>
              </w:rPr>
            </w:pPr>
            <w:r>
              <w:rPr>
                <w:rFonts w:ascii="Arial" w:cs="Arial" w:eastAsia="Arial" w:hAnsi="Arial"/>
                <w:sz w:val="18"/>
                <w:szCs w:val="18"/>
                <w:color w:val="auto"/>
              </w:rPr>
              <w:t>Virology</w:t>
            </w:r>
          </w:p>
        </w:tc>
        <w:tc>
          <w:tcPr>
            <w:tcW w:w="20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19,644</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17,062</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12,650</w:t>
            </w:r>
          </w:p>
        </w:tc>
        <w:tc>
          <w:tcPr>
            <w:tcW w:w="1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17,063</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w w:val="96"/>
              </w:rPr>
              <w:t>Total research and development expenses</w:t>
            </w:r>
          </w:p>
        </w:tc>
        <w:tc>
          <w:tcPr>
            <w:tcW w:w="18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32,610</w:t>
            </w:r>
          </w:p>
        </w:tc>
        <w:tc>
          <w:tcPr>
            <w:tcW w:w="1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34,155</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20" w:type="dxa"/>
            <w:vAlign w:val="bottom"/>
            <w:vMerge w:val="restart"/>
          </w:tcPr>
          <w:p>
            <w:pPr>
              <w:jc w:val="right"/>
              <w:ind w:right="1250"/>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5" w:name="page26"/>
    <w:bookmarkEnd w:id="25"/>
    <w:p>
      <w:pPr>
        <w:spacing w:after="0" w:line="269" w:lineRule="auto"/>
        <w:rPr>
          <w:sz w:val="20"/>
          <w:szCs w:val="20"/>
          <w:color w:val="auto"/>
        </w:rPr>
      </w:pPr>
      <w:r>
        <w:rPr>
          <w:rFonts w:ascii="Arial" w:cs="Arial" w:eastAsia="Arial" w:hAnsi="Arial"/>
          <w:sz w:val="17"/>
          <w:szCs w:val="17"/>
          <w:color w:val="auto"/>
        </w:rPr>
        <w:t>Research and development expenses decreased by $1.6 million for the three months ended March 31, 2020 as compared to the same period in 2019. The decrease in expenses in our liver disease program was due to timing of clinical studies. In 2019, we continued with enrollment in our ARGON-1 and INTREPID studies in our liver disease programs and in fiscal 2020 we substantially completed our ARGON-1 study expenses and were ready to initiate a Phase 2b study (ARGON-2) in March 2020. However, we paused recruitment and dosing of ARGON-2 due to the COVID-19 pandemic. The increase in expenses in our virology program was primarily due to the progression of clinical activities in our HBV program, including initiation of the Phase 1a/1b clinical study of EDP-514. Compensation expense also increased as we continued to advance our wholly owned programs in 2020. In the near term, our clinical trial expenses could fluctuate if the impact of the COVID-19 pandemic prolongs the re-initiation of our ARGON-2 study or our EDP-514 Phase 1b study in nuc-suppressed HBV patients. Furthermore, COVID-19 could also impact recruitment rates in those studies or cause delays in our other studies we plan to initiate later in 2020. In the coming years, we expect our research and development expenses to increase as our wholly owned programs advance, subject to any long-term impact of the COVID-19 pandemic</w:t>
      </w:r>
      <w:r>
        <w:rPr>
          <w:rFonts w:ascii="Arial" w:cs="Arial" w:eastAsia="Arial" w:hAnsi="Arial"/>
          <w:sz w:val="17"/>
          <w:szCs w:val="17"/>
          <w:b w:val="1"/>
          <w:bCs w:val="1"/>
          <w:color w:val="auto"/>
        </w:rPr>
        <w: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remained relatively flat quarter over quarter.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Other income (expense), net, decreased $0.3 million for the three months ended March 31, 2020 as compared to the same period in 2019 due to a net decrease in investment income.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17"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For the three months ended March 31, 2020 and 2019, we recorded an income tax benefit of $3.9 million and an income tax benefit of $3.2 million, respectively. The income tax benefit for the three months ended March 31, 2020 was driven primarily by our pre-tax loss, research and development tax credits and release of an uncertain tax liability during the quarter. The income tax benefit for the three months ended March 31, 2019 was driven by tax deductions for employee stock award-related activity during the prior year comparable period, despite reporting pre-tax income for the period.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March 31, 2020 and 2019</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2"/>
          </w:tcPr>
          <w:p>
            <w:pPr>
              <w:jc w:val="center"/>
              <w:ind w:left="418"/>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4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gridSpan w:val="2"/>
          </w:tcPr>
          <w:p>
            <w:pPr>
              <w:jc w:val="center"/>
              <w:ind w:left="41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3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80,189</w:t>
            </w:r>
          </w:p>
        </w:tc>
        <w:tc>
          <w:tcPr>
            <w:tcW w:w="58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109,517</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65,388</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69,033</w:t>
            </w:r>
          </w:p>
        </w:tc>
        <w:tc>
          <w:tcPr>
            <w:tcW w:w="10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13,805</w:t>
            </w:r>
          </w:p>
        </w:tc>
        <w:tc>
          <w:tcPr>
            <w:tcW w:w="5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13,932</w:t>
            </w:r>
          </w:p>
        </w:tc>
        <w:tc>
          <w:tcPr>
            <w:tcW w:w="10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4,026</w:t>
            </w:r>
          </w:p>
        </w:tc>
        <w:tc>
          <w:tcPr>
            <w:tcW w:w="5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4,130</w:t>
            </w:r>
          </w:p>
        </w:tc>
        <w:tc>
          <w:tcPr>
            <w:tcW w:w="100" w:type="dxa"/>
            <w:vAlign w:val="bottom"/>
          </w:tcPr>
          <w:p>
            <w:pPr>
              <w:spacing w:after="0"/>
              <w:rPr>
                <w:sz w:val="19"/>
                <w:szCs w:val="19"/>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8"/>
              <w:spacing w:after="0"/>
              <w:rPr>
                <w:sz w:val="20"/>
                <w:szCs w:val="20"/>
                <w:color w:val="auto"/>
              </w:rPr>
            </w:pPr>
            <w:r>
              <w:rPr>
                <w:rFonts w:ascii="Arial" w:cs="Arial" w:eastAsia="Arial" w:hAnsi="Arial"/>
                <w:sz w:val="18"/>
                <w:szCs w:val="18"/>
                <w:color w:val="auto"/>
              </w:rPr>
              <w:t>2,416</w:t>
            </w:r>
          </w:p>
        </w:tc>
        <w:tc>
          <w:tcPr>
            <w:tcW w:w="5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(526)</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11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recognized revenue of $80.2 million during the six months ended March 31, 2020 as compared to $109.5 million during the same period in 2019. The decrease in royalty revenue of $29.3 million was driven by lower HCV sales as reported by AbbVie due to increased competition and lower treated patient volumes.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93"/>
              </w:rPr>
              <w:t>Six Months Ended</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left="419"/>
              <w:spacing w:after="0"/>
              <w:rPr>
                <w:sz w:val="20"/>
                <w:szCs w:val="20"/>
                <w:color w:val="auto"/>
              </w:rPr>
            </w:pPr>
            <w:r>
              <w:rPr>
                <w:rFonts w:ascii="Arial" w:cs="Arial" w:eastAsia="Arial" w:hAnsi="Arial"/>
                <w:sz w:val="14"/>
                <w:szCs w:val="14"/>
                <w:b w:val="1"/>
                <w:bCs w:val="1"/>
                <w:color w:val="auto"/>
                <w:w w:val="95"/>
              </w:rPr>
              <w:t>March 31,</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3"/>
                <w:szCs w:val="13"/>
                <w:color w:val="auto"/>
              </w:rPr>
            </w:pPr>
          </w:p>
        </w:tc>
      </w:tr>
      <w:tr>
        <w:trPr>
          <w:trHeight w:val="223"/>
        </w:trPr>
        <w:tc>
          <w:tcPr>
            <w:tcW w:w="4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R&amp;D programs:</w:t>
            </w:r>
          </w:p>
        </w:tc>
        <w:tc>
          <w:tcPr>
            <w:tcW w:w="1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680" w:type="dxa"/>
            <w:vAlign w:val="bottom"/>
          </w:tcPr>
          <w:p>
            <w:pPr>
              <w:ind w:left="240"/>
              <w:spacing w:after="0"/>
              <w:rPr>
                <w:sz w:val="20"/>
                <w:szCs w:val="20"/>
                <w:color w:val="auto"/>
              </w:rPr>
            </w:pPr>
            <w:r>
              <w:rPr>
                <w:rFonts w:ascii="Arial" w:cs="Arial" w:eastAsia="Arial" w:hAnsi="Arial"/>
                <w:sz w:val="18"/>
                <w:szCs w:val="18"/>
                <w:color w:val="auto"/>
              </w:rPr>
              <w:t>Virology</w:t>
            </w:r>
          </w:p>
        </w:tc>
        <w:tc>
          <w:tcPr>
            <w:tcW w:w="17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38,879</w:t>
            </w:r>
          </w:p>
        </w:tc>
        <w:tc>
          <w:tcPr>
            <w:tcW w:w="6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33,194</w:t>
            </w:r>
          </w:p>
        </w:tc>
        <w:tc>
          <w:tcPr>
            <w:tcW w:w="100" w:type="dxa"/>
            <w:vAlign w:val="bottom"/>
          </w:tcPr>
          <w:p>
            <w:pPr>
              <w:spacing w:after="0"/>
              <w:rPr>
                <w:sz w:val="19"/>
                <w:szCs w:val="19"/>
                <w:color w:val="auto"/>
              </w:rPr>
            </w:pPr>
          </w:p>
        </w:tc>
      </w:tr>
      <w:tr>
        <w:trPr>
          <w:trHeight w:val="229"/>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Liver disease (non-viral)</w:t>
            </w:r>
          </w:p>
        </w:tc>
        <w:tc>
          <w:tcPr>
            <w:tcW w:w="14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26,083</w:t>
            </w:r>
          </w:p>
        </w:tc>
        <w:tc>
          <w:tcPr>
            <w:tcW w:w="2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35,717</w:t>
            </w:r>
          </w:p>
        </w:tc>
        <w:tc>
          <w:tcPr>
            <w:tcW w:w="100" w:type="dxa"/>
            <w:vAlign w:val="bottom"/>
            <w:shd w:val="clear" w:color="auto" w:fill="CFF0FC"/>
          </w:tcPr>
          <w:p>
            <w:pPr>
              <w:spacing w:after="0"/>
              <w:rPr>
                <w:sz w:val="19"/>
                <w:szCs w:val="19"/>
                <w:color w:val="auto"/>
              </w:rPr>
            </w:pPr>
          </w:p>
        </w:tc>
      </w:tr>
      <w:tr>
        <w:trPr>
          <w:trHeight w:val="230"/>
        </w:trPr>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FF0FC"/>
            </w:tcBorders>
          </w:tcPr>
          <w:p>
            <w:pPr>
              <w:spacing w:after="0"/>
              <w:rPr>
                <w:sz w:val="19"/>
                <w:szCs w:val="19"/>
                <w:color w:val="auto"/>
              </w:rPr>
            </w:pPr>
          </w:p>
        </w:tc>
      </w:tr>
      <w:tr>
        <w:trPr>
          <w:trHeight w:val="223"/>
        </w:trPr>
        <w:tc>
          <w:tcPr>
            <w:tcW w:w="46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research and development expenses</w:t>
            </w:r>
          </w:p>
        </w:tc>
        <w:tc>
          <w:tcPr>
            <w:tcW w:w="14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65,388</w:t>
            </w:r>
          </w:p>
        </w:tc>
        <w:tc>
          <w:tcPr>
            <w:tcW w:w="2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69,033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Research and development expenses decreased by $3.6 million for the six months ended March 31, 2020 as compared to the same period in 2019. The decrease in expenses in our liver disease program was due to timing of clinical studies. In 2019, we continued with enrollment in our ARGON-1 and INTREPID studies in our liver disease programs and in fiscal 2020, we substantially completed our ARGON-1 study expenses and were ready to initiate a Phase 2b study (ARGON-2) in March 2020. However, we paused recruitment and dosing of ARGON-2 due to the COVID-19 pandemic. The increase in expenses in our virology program was primarily due to the progression of clinical activities in our HBV program, including initiation of the Phase 1a/1b clinical study of EDP-514. Compensation expense also increased as we continued to advance our wholly owned programs in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 remained relatively flat year over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remained relatively flat year over year.</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six months ended March 31, 2020 and 2019 we recorded an income tax benefit of $2.4 million and income tax (expense) of $(0.5) million, respectively. Although we reported pre-tax income for the six months ended March 31, 2020, we recognized an income tax benefit due to federal research and development tax credits, release of an uncertain tax liability and stock award-related activity during the year. Income tax expense for the six months ended March 31, 2019 was driven primarily by our pre-tax income for the prior year comparable period and offset by federal research and development tax credits and tax deductions for employee stock award-related activity.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At March 31, 2020, our principal sources of liquidity were cash, cash equivalents and short-term and long-term marketable securities totaling $435.4 million. We believe, despite the ongoing global impact of COVID-19, that our principal sources of liquidity will be sufficient to meet our anticipated cash requirements for the foreseeable future.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a summary of our cash flows for the six months ended March 31, 2020 and 2019:</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provided by (used in):</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680" w:type="dxa"/>
            <w:vAlign w:val="bottom"/>
          </w:tcPr>
          <w:p>
            <w:pPr>
              <w:ind w:left="480"/>
              <w:spacing w:after="0"/>
              <w:rPr>
                <w:sz w:val="20"/>
                <w:szCs w:val="20"/>
                <w:color w:val="auto"/>
              </w:rPr>
            </w:pPr>
            <w:r>
              <w:rPr>
                <w:rFonts w:ascii="Arial" w:cs="Arial" w:eastAsia="Arial" w:hAnsi="Arial"/>
                <w:sz w:val="18"/>
                <w:szCs w:val="18"/>
                <w:color w:val="auto"/>
              </w:rPr>
              <w:t>Operating activities</w:t>
            </w: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27,037</w:t>
            </w:r>
          </w:p>
        </w:tc>
        <w:tc>
          <w:tcPr>
            <w:tcW w:w="140" w:type="dxa"/>
            <w:vAlign w:val="bottom"/>
          </w:tcPr>
          <w:p>
            <w:pPr>
              <w:spacing w:after="0"/>
              <w:rPr>
                <w:sz w:val="19"/>
                <w:szCs w:val="19"/>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60,340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Investing activities</w:t>
            </w:r>
          </w:p>
        </w:tc>
        <w:tc>
          <w:tcPr>
            <w:tcW w:w="16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(9,453)</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(19,609)</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Financing activities</w:t>
            </w:r>
          </w:p>
        </w:tc>
        <w:tc>
          <w:tcPr>
            <w:tcW w:w="16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368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2"/>
              </w:rPr>
              <w:t>Net increase in cash, cash equivalents and</w:t>
            </w:r>
          </w:p>
        </w:tc>
        <w:tc>
          <w:tcPr>
            <w:tcW w:w="1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20"/>
                <w:szCs w:val="20"/>
                <w:color w:val="auto"/>
              </w:rPr>
            </w:pPr>
          </w:p>
        </w:tc>
        <w:tc>
          <w:tcPr>
            <w:tcW w:w="36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restricted cash</w:t>
            </w:r>
          </w:p>
        </w:tc>
        <w:tc>
          <w:tcPr>
            <w:tcW w:w="1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23,108</w:t>
            </w:r>
          </w:p>
        </w:tc>
        <w:tc>
          <w:tcPr>
            <w:tcW w:w="14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68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bottom w:val="single" w:sz="8" w:color="CFF0FC"/>
            </w:tcBorders>
            <w:vMerge w:val="restart"/>
          </w:tcPr>
          <w:p>
            <w:pPr>
              <w:jc w:val="right"/>
              <w:ind w:right="125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Net cash provided by operating activities</w:t>
      </w:r>
    </w:p>
    <w:p>
      <w:pPr>
        <w:spacing w:after="0" w:line="11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decrease in cash provided by operating activities of $33.3 million for the six months ended March 31, 2020 as compared to the same period in 2019 was primarily driven by a decrease in net income year-over-year and net cash used by changes in our operating assets and liabilities of $11.7 million in the six months ended March 31, 2020 as compared to net cash used by changes in our operating assets and liabilities of $21.1 million for the same period in 2019. Changes in our operating assets and liabilities in both periods were generally due to payments received under our collaboration with AbbVie, the advancement of our research programs and the timing of vendor invoicing and payments.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increase in cash used in investing activities of $10.2 million for the six months ended March 31, 2020 as compared to the same period in 2019 was driven by the timing of purchases, sales and maturities of marketable securities.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increase in net cash provided for the six months ended March 31, 2020 as compared to the same period in 2019 was driven by an increase in proceeds from exercises of stock options of $1.4 million as well as a decrease in withholding tax payments for the settlement of share-based awards of $2.7 million driven by a decline in our stock price year over year at the time of vesting of certain share-based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March 31, 2020, we had $435.4 million in cash, cash equivalents and short-term and long-term marketable securities. We believe that our existing cash, cash equivalents and marketable securities as of March 31, 2020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royalties generated from our existing collaboration with AbbVie;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00" w:right="6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58"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delays in our clinical trials of our product candidates as a result of the COVID-19 pandemic</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212529"/>
        </w:rPr>
        <w:t>our ability to establish new collaborations, licensing or other arrangements, if any, and the financial terms of such arrangements</w:t>
      </w:r>
      <w:r>
        <w:rPr>
          <w:rFonts w:ascii="Arial" w:cs="Arial" w:eastAsia="Arial" w:hAnsi="Arial"/>
          <w:sz w:val="17"/>
          <w:szCs w:val="17"/>
          <w:color w:val="000000"/>
        </w:rPr>
        <w:t>;</w:t>
      </w:r>
    </w:p>
    <w:p>
      <w:pPr>
        <w:spacing w:after="0" w:line="128" w:lineRule="exact"/>
        <w:rPr>
          <w:rFonts w:ascii="Arial" w:cs="Arial" w:eastAsia="Arial" w:hAnsi="Arial"/>
          <w:sz w:val="17"/>
          <w:szCs w:val="17"/>
          <w:color w:val="auto"/>
        </w:rPr>
      </w:pPr>
    </w:p>
    <w:p>
      <w:pPr>
        <w:ind w:left="1000" w:right="4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In our 2019 Form 10-K Part II, Item 7, Management’s Discussion and Analysis of Financial Conditions and Results of Operations, under the heading “Contractual Obligations and Commitments”, we have described our commitments and contingencies. There were no material changes to our total contractual commitments and obligations during the six months ended March 31,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evaluate our estimates and assumptions on an ongoing basis. Our actual results may differ from these estimates under different assumptions and conditions. See our Annual Report on Form 10-K for the fiscal year ended September 30, 2019 (referred to as our 2019 Form 10-K) for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Other than the impact of the adoption of ASC 842 in the first quarter of fiscal 2020, as disclosed in Note 2 to our unaudited financial statements included in this Quarterly Report on Form 10-Q, there have been no material changes to our significant accounting policies since September 30, 2019. For further information, please see the discussion of critical accounting policies included in our 2019 Form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description of recently issued accounting pronouncements that may potentially impact our financial position and results of operations is set forth in Note 2 to the consolidated financial statements included in this Quarterly Report on Form 10-Q.</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$435.4 million at March 31, 2020 consisting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w:t>
      </w:r>
    </w:p>
    <w:p>
      <w:pPr>
        <w:spacing w:after="0" w:line="29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pacing w:after="0" w:line="269" w:lineRule="exact"/>
        <w:rPr>
          <w:sz w:val="20"/>
          <w:szCs w:val="20"/>
          <w:color w:val="auto"/>
        </w:rPr>
      </w:pPr>
    </w:p>
    <w:p>
      <w:pPr>
        <w:ind w:left="200" w:hanging="192"/>
        <w:spacing w:after="0"/>
        <w:tabs>
          <w:tab w:leader="none" w:pos="2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three months ended March 31, 2020 that has materially affected, or is reasonably likely to materially affect, our internal control over financial reporting.</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—OTHER INFORMATION</w:t>
      </w:r>
    </w:p>
    <w:p>
      <w:pPr>
        <w:sectPr>
          <w:pgSz w:w="11900" w:h="16838" w:orient="portrait"/>
          <w:cols w:equalWidth="0" w:num="1">
            <w:col w:w="11240"/>
          </w:cols>
          <w:pgMar w:left="320" w:top="337"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w:t>
      </w:r>
    </w:p>
    <w:p>
      <w:pPr>
        <w:spacing w:after="0" w:line="457" w:lineRule="exact"/>
        <w:rPr>
          <w:sz w:val="20"/>
          <w:szCs w:val="20"/>
          <w:color w:val="auto"/>
        </w:rPr>
      </w:pPr>
    </w:p>
    <w:p>
      <w:pPr>
        <w:sectPr>
          <w:pgSz w:w="11900" w:h="16838" w:orient="portrait"/>
          <w:cols w:equalWidth="0" w:num="2">
            <w:col w:w="1340" w:space="100"/>
            <w:col w:w="9800"/>
          </w:cols>
          <w:pgMar w:left="320" w:top="337" w:right="339" w:bottom="1440" w:gutter="0" w:footer="0" w:header="0"/>
          <w:type w:val="continuous"/>
        </w:sectPr>
      </w:pPr>
    </w:p>
    <w:p>
      <w:pPr>
        <w:ind w:right="20"/>
        <w:spacing w:after="0" w:line="271" w:lineRule="auto"/>
        <w:rPr>
          <w:sz w:val="20"/>
          <w:szCs w:val="20"/>
          <w:color w:val="auto"/>
        </w:rPr>
      </w:pPr>
      <w:r>
        <w:rPr>
          <w:rFonts w:ascii="Arial" w:cs="Arial" w:eastAsia="Arial" w:hAnsi="Arial"/>
          <w:sz w:val="17"/>
          <w:szCs w:val="17"/>
          <w:i w:val="1"/>
          <w:iCs w:val="1"/>
          <w:color w:val="auto"/>
        </w:rPr>
        <w:t>Our business faces significant risks and uncertainties, any of which, alone or in combination with others, may have a material adverse effect on our business prospects, financial condition and results of operations. Accordingly, in evaluating our business, we encourage you to consider the following summary of the risk factors and uncertainties that we believe are most relevant to our business. You should carefully consider the risks described below before making an investment decision and understand that it is not possible to predict or identify all such factors. Other events that we do not currently anticipate or that we currently deem immaterial may also affect our business, prospects, financial condition and results of operations. In addition,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w:t>
      </w:r>
    </w:p>
    <w:p>
      <w:pPr>
        <w:spacing w:after="0" w:line="70"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i w:val="1"/>
          <w:iCs w:val="1"/>
          <w:color w:val="auto"/>
        </w:rPr>
        <w:t>The statement of risk factors provided in this Item 1A includes any material changes to and supersedes the statement of risk factors associated with our business previously disclosed in Item 1A of our Annual Report on Form 10-K for the fiscal year ended September 30, 2019 filed on November 27, 2019 with the Securities and Exchange Commission (SEC). In assessing these risks, investors should also refer to the other information contained or incorporated by reference in this Form 10-Q and our other filings made from time to time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b w:val="1"/>
          <w:bCs w:val="1"/>
          <w:i w:val="1"/>
          <w:iCs w:val="1"/>
          <w:color w:val="auto"/>
        </w:rPr>
        <w:t>Our financial prospects for the next several years are dependent upon AbbVie’s success selling MAVYRET/MAVIRET, which includes our protease inhibitor, glecaprevir, for the treatment of HCV. AbbVie may act in its best interest rather than in our best interest, which could adversely affect our business.</w:t>
      </w:r>
    </w:p>
    <w:p>
      <w:pPr>
        <w:spacing w:after="0" w:line="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continue to generate revenue will depend primarily on the success of AbbVie’s efforts to maintain sales of MAVYRET/MAVIRET. Such success is subject to uncertainty, and we have no control over the resources, time and effort that AbbVie may devote to sales of this regimen. Any of several events or factors could have a material adverse effect on our ability to continue to generate revenue from AbbVie’s sales of MAVYRET/MAVIRET. For example, AbbVie:</w:t>
      </w:r>
    </w:p>
    <w:p>
      <w:pPr>
        <w:spacing w:after="0" w:line="68" w:lineRule="exact"/>
        <w:rPr>
          <w:sz w:val="20"/>
          <w:szCs w:val="20"/>
          <w:color w:val="auto"/>
        </w:rPr>
      </w:pPr>
    </w:p>
    <w:p>
      <w:pPr>
        <w:ind w:left="1000" w:right="1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experience lower sales volume in future quarters due to a reduction in diagnoses and treatment of HCV during shutdowns as a result of the COVID-19 pandemic;</w:t>
      </w:r>
    </w:p>
    <w:p>
      <w:pPr>
        <w:spacing w:after="0" w:line="62"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maintain satisfactory levels of prescriptions by physicians and reimbursement by third-party payors for the MAVYRET/MAVIRET regimen in the various markets of the world where it is being sold;</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compete successfully with its MAVYRET/MAVIRET regimen against other products and therapies for HCV, including competition for exclusive arrangements with third-party payors and governmental entities as well as price competition;</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label restrictions for its regimen containing glecaprevir;</w:t>
      </w:r>
    </w:p>
    <w:p>
      <w:pPr>
        <w:spacing w:after="0" w:line="62"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foreign regulatory agencies and all commercially necessary reimbursement approvals;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commit sufficient resources to the marketing and distribution of MAVYRET/MAVIRET, whether for competitive or strategic reasons or otherwise due to a change in business priorities;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140"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be able to manufacture glecaprevir in compliance with requirements of the FDA and similar foreign regulatory agencies and in commercial quantities sufficient to meet market demand.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line="291" w:lineRule="auto"/>
        <w:rPr>
          <w:sz w:val="20"/>
          <w:szCs w:val="20"/>
          <w:color w:val="auto"/>
        </w:rPr>
      </w:pPr>
      <w:r>
        <w:rPr>
          <w:rFonts w:ascii="Arial" w:cs="Arial" w:eastAsia="Arial" w:hAnsi="Arial"/>
          <w:sz w:val="16"/>
          <w:szCs w:val="16"/>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AbbVie may also make decisions with which we do not agree. If AbbVie acts in a manner that is not in our best interest, then it could adversely affect our business and prospects.</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6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AbbVie’s MAVYRET/MAVIRET regimen continues to be the leading HCV treatment in the U.S. and several market geographies in developed countries where it is approved. While commercialization of this regimen is exclusively in AbbVie’s control without any required input from us, we believe it is possible that prices will decline further due to payors obtaining additional discounts or competitive market dynamics. For example, the states of Louisiana and Washington have each announced efforts to negotiate a blanket price for one of the HCV drug companies to treat all patients in one or more state programs (e.g. Medicaid). Gilead was awarded the contract in Louisiana and AbbVie was awarded the contract in Washington. In addition, Gilead has been able to access the Medicaid market at a lower price point to build its market share by using an authorized generic version of its branded HCV regimen. It is unknown whether these programs or other programs that states may adopt could have any further impact on MAVYRET/MAVIRET sales. There may also be fluctuations in AbbVie’s market share over time due to these and other competitive actions by Gilead.</w:t>
      </w:r>
    </w:p>
    <w:p>
      <w:pPr>
        <w:spacing w:after="0" w:line="5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payors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this regimen and our royalty revenue derived from its sales.</w:t>
      </w:r>
    </w:p>
    <w:p>
      <w:pPr>
        <w:spacing w:after="0" w:line="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Furthermore, we expect that the COVID-19 pandemic will adversely affect AbbVie’s sales of MAVYRET/MAVIRET in the United States and the rest of the world as health care systems experience varying levels of shut-down. At this point in time we do not know the extent and duration of this adverse effect. We note, however, that the HCV patient pool will continue to carry the viral infection until treated.</w:t>
      </w:r>
    </w:p>
    <w:p>
      <w:pPr>
        <w:spacing w:after="0" w:line="7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NASH, RSV and HBV, as well as other liver diseases and viral infections, which may result in others discovering, developing or commercializing products before we do or doing so more successfully than we do.</w:t>
      </w:r>
    </w:p>
    <w:p>
      <w:pPr>
        <w:spacing w:after="0" w:line="76"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8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6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3"/>
          <w:szCs w:val="13"/>
          <w:color w:val="auto"/>
        </w:rPr>
        <w:t>®</w:t>
      </w:r>
      <w:r>
        <w:rPr>
          <w:rFonts w:ascii="Arial" w:cs="Arial" w:eastAsia="Arial" w:hAnsi="Arial"/>
          <w:sz w:val="16"/>
          <w:szCs w:val="16"/>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3"/>
          <w:szCs w:val="13"/>
          <w:color w:val="auto"/>
        </w:rPr>
        <w:t>®</w:t>
      </w:r>
      <w:r>
        <w:rPr>
          <w:rFonts w:ascii="Arial" w:cs="Arial" w:eastAsia="Arial" w:hAnsi="Arial"/>
          <w:sz w:val="16"/>
          <w:szCs w:val="16"/>
          <w:color w:val="auto"/>
        </w:rPr>
        <w:t xml:space="preserve"> (a fixed-dose combination of sofosbuvir and ledipasvir); and to a lesser extent - Merck’s Zepatier</w:t>
      </w:r>
      <w:r>
        <w:rPr>
          <w:rFonts w:ascii="Arial" w:cs="Arial" w:eastAsia="Arial" w:hAnsi="Arial"/>
          <w:sz w:val="13"/>
          <w:szCs w:val="13"/>
          <w:color w:val="auto"/>
        </w:rPr>
        <w:t>®</w:t>
      </w:r>
      <w:r>
        <w:rPr>
          <w:rFonts w:ascii="Arial" w:cs="Arial" w:eastAsia="Arial" w:hAnsi="Arial"/>
          <w:sz w:val="16"/>
          <w:szCs w:val="16"/>
          <w:color w:val="auto"/>
        </w:rPr>
        <w:t xml:space="preserve"> (a fixed-dose combination of grazoprevir and elbasvir). Gilead launched authorized generic versions of Epclusa and Harvoni in January 2019 through a newly created subsidiary, Asegua Therapeutics, LLC, which has had an impact on the competitive landscape. For example, in March 2019, the state of Louisiana announced the selection of Asegua Therapeutics as their HCV subscription model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right="40"/>
        <w:spacing w:after="0" w:line="271" w:lineRule="auto"/>
        <w:rPr>
          <w:sz w:val="20"/>
          <w:szCs w:val="20"/>
          <w:color w:val="auto"/>
        </w:rPr>
      </w:pPr>
      <w:r>
        <w:rPr>
          <w:rFonts w:ascii="Arial" w:cs="Arial" w:eastAsia="Arial" w:hAnsi="Arial"/>
          <w:sz w:val="17"/>
          <w:szCs w:val="17"/>
          <w:color w:val="auto"/>
        </w:rPr>
        <w:t>pharmaceutical partner to provide the state with unrestricted access to its direct-acting antiviral medication. Other competitive products in the form of other treatment methods or a vaccine for HCV may render AbbVie’s HCV 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other than authorized generic versions by the manufacturer of the branded product (i.e. Gilead and Asegua Therapeutics),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In February 2019, Intercept Pharmaceuticals announced positive Phase 3 trial results for OCA (brand name Ocaliva</w:t>
      </w:r>
      <w:r>
        <w:rPr>
          <w:rFonts w:ascii="Arial" w:cs="Arial" w:eastAsia="Arial" w:hAnsi="Arial"/>
          <w:sz w:val="14"/>
          <w:szCs w:val="14"/>
          <w:color w:val="auto"/>
        </w:rPr>
        <w:t>®</w:t>
      </w:r>
      <w:r>
        <w:rPr>
          <w:rFonts w:ascii="Arial" w:cs="Arial" w:eastAsia="Arial" w:hAnsi="Arial"/>
          <w:sz w:val="17"/>
          <w:szCs w:val="17"/>
          <w:color w:val="auto"/>
        </w:rPr>
        <w:t>) in NASH and has also signaled its intent to submit U.S. and European regulatory filings in the second half of calendar 2019 for approvals in this indication. We are aware of several other companies with NASH programs that are significantly more advanced than ours, including companies with compounds in Phase 3 clinical trials in NASH, namely Allergan (Tobira), Genfit, Intercept, and Madrigal. In addition, a number of companies have NASH or related programs with compounds in Phase 2 clinical trials. These companies include 89bio, Afimmune, Akcea, Akero, Alberio, BMS, Can-Fite BioPharma, Cirius, Eli Lilly and Company, Enyo, Forma Therapeutics, Galectin, Galmed, Gilead, HighTide Biopharma , Immuron, Inventiva, Kowa Company, Lipocine, Medicinova, Metacrine, Mitsubishi Tanabe Pharma, NGM, Noorik Biopharmaceuticals, Northsea Therapeutics, Nova Laboratories, Novartis, Novo Nordisk, NuSirt Biopharma, Pfizer, Poxel SA, Promethera Biosciences, Sagimet Biosciences, TaiwanJ Pharmaceuticals, Terns, Viking, and Zydus. A significant number of other companies are conducting earlier stage clinical trials that may be applicable in NASH. There are also additional companies conducting preclinical studies in these disease areas.</w:t>
      </w:r>
    </w:p>
    <w:p>
      <w:pPr>
        <w:spacing w:after="0" w:line="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Assembly, Gilead, GSK/Ionis, HEC, Johnson &amp; Johnson, Qilu, Replicor, and Roche have Phase 2 programs in progress, with many of these companies conducting earlier stage programs as well. In addition, a number of companies have Phase 1 or earlier stage HBV programs, including Aicuris, Aligos, Altimmune, Arbutus, ENYO, Transgene, and Vir.</w:t>
      </w:r>
    </w:p>
    <w:p>
      <w:pPr>
        <w:spacing w:after="0" w:line="8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RSV, there are currently no safe and effective therapies for already established RSV infection. Several companies are seeking new antiviral treatments for RSV infection in adult and pediatric patients. Ark Biosciences, Johnson &amp; Johnson and ReViral each have compounds in clinical development. A prophylactic, monoclonal-antibody-based treatment from MedImmune, which is commercialized by AbbVie outside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If we are not able to develop new products that can compete effectively against our current and future competitors, our business will not grow and our financial condition, operations and stock price will suffer.</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ongoing COVID-19 pandemic may, directly or indirectly, adversely affect our business, results of operations and financial condition and our stock price.</w:t>
      </w:r>
    </w:p>
    <w:p>
      <w:pPr>
        <w:spacing w:after="0" w:line="6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business could be materially adversely affected, directly or indirectly, by the ongoing COVID-19 pandemic, which has spread to the countries in which we, our contract manufacturers, our clinical research contractors and our collaborators in clinical research do business. National, state and local governments in affected regions have implemented and may continue to implement safety precautions, including quarantines, border closures, increased border controls, travel restrictions, shelter-in-place orders and shutdowns, business closures, cancellations of public gatherings and other measures. Organizations and individuals are taking additional steps to avoid or reduce infection, including limiting travel and staying home from work. These measures are disrupting normal business operations both inside and outside of affected areas and have had significant negative impacts on businesses and financial markets worldwide.</w:t>
      </w:r>
    </w:p>
    <w:p>
      <w:pPr>
        <w:spacing w:after="0" w:line="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continue to monitor our operations and applicable government recommendations, and we have made modifications to our normal operations because of the COVID-19 pandemic, including requiring our employees to work remotely. Notwithstanding these measures, the COVID-19 pandemic could affect the health and availability of our workforce as well as those of the third parties whom we are relying on to take similar measures. In addition, we have experienced and will continue to experience disruptions to our business operations resulting from shelter-in-place policies and other restrictions on the ability of our employees to perform their jobs.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2" w:name="page33"/>
    <w:bookmarkEnd w:id="32"/>
    <w:p>
      <w:pPr>
        <w:ind w:right="260"/>
        <w:spacing w:after="0" w:line="296" w:lineRule="auto"/>
        <w:rPr>
          <w:sz w:val="20"/>
          <w:szCs w:val="20"/>
          <w:color w:val="auto"/>
        </w:rPr>
      </w:pPr>
      <w:r>
        <w:rPr>
          <w:rFonts w:ascii="Arial" w:cs="Arial" w:eastAsia="Arial" w:hAnsi="Arial"/>
          <w:sz w:val="16"/>
          <w:szCs w:val="16"/>
          <w:color w:val="auto"/>
        </w:rPr>
        <w:t>The COVID-19 pandemic has had an impact on our business operations. The extent and severity of the impact on our business and clinical trials will be determined largely by the extent of disruptions in the supply chains for our research and product candidates, delays in the conduct of current and future clinical trials, and reductions in the number of patients accessing AbbVie’s HCV regimens. For example, we have paused recruitment for our Phase 2b ARGON-2 study of EDP-305 in NASH patients and our Phase 1b study of EDP-514 in nuc-suppressed HBV patients. In addition, the impact of the COVID-19 pandemic on the operations of the FDA and other health authorities may delay potential approvals of our clinical trial protocols.</w:t>
      </w:r>
    </w:p>
    <w:p>
      <w:pPr>
        <w:spacing w:after="0" w:line="53"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Although it is not possible at this time to estimate the entirety of the impact that the COVID-19 pandemic will have on our business, operations and employees, our contract manufacturers, our clinical research contractors, and our collaborators in clinical research, any continued spread of COVID-19, measures taken by governments, actions taken to protect employees from this disease, and the broad impact of the pandemic on all business activities and financial markets, may materially and adversely affect our business, results of operations and financial condition and our stock price.</w:t>
      </w:r>
    </w:p>
    <w:p>
      <w:pPr>
        <w:spacing w:after="0" w:line="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and HBV programs, we will need to successfully:</w:t>
      </w:r>
    </w:p>
    <w:p>
      <w:pPr>
        <w:spacing w:after="0" w:line="79" w:lineRule="exact"/>
        <w:rPr>
          <w:sz w:val="20"/>
          <w:szCs w:val="20"/>
          <w:color w:val="auto"/>
        </w:rPr>
      </w:pPr>
    </w:p>
    <w:p>
      <w:pPr>
        <w:ind w:left="100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execute clinical development of our product candidates and demonstrate acceptable safety and efficacy for them alone or in combination with other drugs or drug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 and maintain patent protection for our product candidates and freedom from infringement of intellectual property of others;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establish acceptable commercial manufacturing arrangements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build and maintain robust sales, distribution and marketing capabilities, either independently or in collaboration with future collaborators;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gain market acceptance for our product candidates among physicians, payors and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11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product candidates and expand our business or continue our operations.</w:t>
      </w:r>
    </w:p>
    <w:p>
      <w:pPr>
        <w:spacing w:after="0" w:line="6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are not successful in developing EDP-305, EDP-938, EDP-514 and/or EDP-297 or in discovering further product candidates, our ability to expand our business and achieve our strategic objectives will be impaired.</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9"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less commercially viable or obsolete;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competitors may obtain intellectual property protection that effectively prevents us from developing a product candidate;</w:t>
      </w:r>
    </w:p>
    <w:p>
      <w:pPr>
        <w:spacing w:after="0" w:line="117" w:lineRule="exact"/>
        <w:rPr>
          <w:rFonts w:ascii="Arial" w:cs="Arial" w:eastAsia="Arial" w:hAnsi="Arial"/>
          <w:sz w:val="18"/>
          <w:szCs w:val="18"/>
          <w:color w:val="auto"/>
        </w:rPr>
      </w:pPr>
    </w:p>
    <w:p>
      <w:pPr>
        <w:ind w:left="1000" w:right="520" w:hanging="493"/>
        <w:spacing w:after="0" w:line="308"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3" w:name="page34"/>
    <w:bookmarkEnd w:id="33"/>
    <w:p>
      <w:pPr>
        <w:spacing w:after="0" w:line="257" w:lineRule="auto"/>
        <w:rPr>
          <w:sz w:val="20"/>
          <w:szCs w:val="20"/>
          <w:color w:val="auto"/>
        </w:rPr>
      </w:pPr>
      <w:r>
        <w:rPr>
          <w:rFonts w:ascii="Arial" w:cs="Arial" w:eastAsia="Arial" w:hAnsi="Arial"/>
          <w:sz w:val="18"/>
          <w:szCs w:val="18"/>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8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b w:val="1"/>
          <w:bCs w:val="1"/>
          <w:i w:val="1"/>
          <w:iCs w:val="1"/>
          <w:color w:val="auto"/>
        </w:rPr>
        <w:t>Changes in royalty revenue earned under our AbbVie agreement or changes in the level of expenses associated with development of our product candidates may cause our results of operations to fluctuate from period to period, which may result in operating losses.</w:t>
      </w:r>
    </w:p>
    <w:p>
      <w:pPr>
        <w:spacing w:after="0" w:line="1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As discussed above, our principal source of revenue continues to be our royalty revenue earned under the AbbVie collaboration agreement. There is uncertainty regarding this future revenue stream given the competitive nature of the market for HCV therapies, which reflects price competition, the changing nature of payer contracts of AbbVie and others, the varying rates of reimbursement in different countries and the impact of the COVID-19 pandemic on HCV sales. Changes in royalty revenue earned under the AbbVie collaboration agreement, including those that occur from period to period due to the annually tiered structure of our royalties, may cause our revenues and operating results to fluctuate significantly from quarter to quarter and could have an adverse effect on our stock price.</w:t>
      </w:r>
    </w:p>
    <w:p>
      <w:pPr>
        <w:spacing w:after="0" w:line="8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Additionally, 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However, the global impact of the COVID-19 shut-down has had, and is likely to continue to have, an adverse effect on the ability of our CROs to conduct preclinical and clinical studies. At this point in time we do not know to what extent these studies can or will be impacted by the pandemic. Therefore, now more than ever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6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and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ind w:right="140"/>
        <w:spacing w:after="0" w:line="263"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w:t>
      </w:r>
    </w:p>
    <w:p>
      <w:pPr>
        <w:spacing w:after="0" w:line="7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net income results primarily from the revenue we earn from AbbVie on net sales of its HCV regimens allocated to our protease inhibitors included in those regimens. There is no assurance, however, that we will report net income in subsequent years. To date, we have not commercialized any products ourselves.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the varying rates of reimbursement in different countries and the impact of the COVID-19 pandemic on HCV sales. At any time, AbbVie may choose not to continue its commercialization activities for the MAVYRET/MAVIRET regimen in one or more countries.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74" w:lineRule="exact"/>
        <w:rPr>
          <w:sz w:val="20"/>
          <w:szCs w:val="20"/>
          <w:color w:val="auto"/>
        </w:rPr>
      </w:pPr>
    </w:p>
    <w:p>
      <w:pPr>
        <w:jc w:val="both"/>
        <w:ind w:right="180"/>
        <w:spacing w:after="0" w:line="375" w:lineRule="auto"/>
        <w:rPr>
          <w:sz w:val="20"/>
          <w:szCs w:val="20"/>
          <w:color w:val="auto"/>
        </w:rPr>
      </w:pPr>
      <w:r>
        <w:rPr>
          <w:rFonts w:ascii="Arial" w:cs="Arial" w:eastAsia="Arial" w:hAnsi="Arial"/>
          <w:sz w:val="15"/>
          <w:szCs w:val="15"/>
          <w:b w:val="1"/>
          <w:bCs w:val="1"/>
          <w:i w:val="1"/>
          <w:iCs w:val="1"/>
          <w:color w:val="auto"/>
        </w:rPr>
        <w:t>We may require substantial additional financing in the longer term to achieve our goals if the sales of MAVYRET/MAVIRET decline substantially. A failure to obtain this necessary capital when needed could force us to delay, limit, reduce or terminate some or all of our product development efforts.</w:t>
      </w:r>
    </w:p>
    <w:p>
      <w:pPr>
        <w:spacing w:after="0" w:line="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In addition, we may seek opportunities to in-license or otherwise acquire new therapeutic candidates and therapies.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 of royalties generated from MAVYRET/MAVIRET sales under our existing collaboration with AbbVie;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characteristics of our research and development programs;</w:t>
      </w:r>
    </w:p>
    <w:p>
      <w:pPr>
        <w:spacing w:after="0" w:line="117" w:lineRule="exact"/>
        <w:rPr>
          <w:rFonts w:ascii="Arial" w:cs="Arial" w:eastAsia="Arial" w:hAnsi="Arial"/>
          <w:sz w:val="18"/>
          <w:szCs w:val="18"/>
          <w:color w:val="auto"/>
        </w:rPr>
      </w:pPr>
    </w:p>
    <w:p>
      <w:pPr>
        <w:ind w:left="1000" w:right="6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product candidates on our own, including conducting advanced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delays and additional expense in our clinical trials as a result of the COVID-19 pandemic;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6"/>
          <w:szCs w:val="16"/>
          <w:color w:val="auto"/>
        </w:rPr>
      </w:pPr>
      <w:r>
        <w:rPr>
          <w:rFonts w:ascii="Arial" w:cs="Arial" w:eastAsia="Arial" w:hAnsi="Arial"/>
          <w:sz w:val="16"/>
          <w:szCs w:val="16"/>
          <w:color w:val="212529"/>
        </w:rPr>
        <w:t>the cost of manufacturing our product candidates for clinical development and any products we successfully commercialize independently</w:t>
      </w:r>
      <w:r>
        <w:rPr>
          <w:rFonts w:ascii="Arial" w:cs="Arial" w:eastAsia="Arial" w:hAnsi="Arial"/>
          <w:sz w:val="16"/>
          <w:szCs w:val="16"/>
          <w:color w:val="000000"/>
        </w:rPr>
        <w:t>;</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opportunities to in-license or otherwise acquire new technologies, therapeutic candidates and therapies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the timing of, </w:t>
      </w:r>
      <w:r>
        <w:rPr>
          <w:rFonts w:ascii="Arial" w:cs="Arial" w:eastAsia="Arial" w:hAnsi="Arial"/>
          <w:sz w:val="18"/>
          <w:szCs w:val="18"/>
          <w:color w:val="212529"/>
        </w:rPr>
        <w:t>and the costs involved in, obtaining regulatory approvals for any product candidates we develop independently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cost of commercialization activities, if any, of any product candidates we develop independently that are approved for sale, including marketing, sales and distribution costs</w:t>
      </w:r>
      <w:r>
        <w:rPr>
          <w:rFonts w:ascii="Arial" w:cs="Arial" w:eastAsia="Arial" w:hAnsi="Arial"/>
          <w:sz w:val="18"/>
          <w:szCs w:val="18"/>
          <w:color w:val="000000"/>
        </w:rPr>
        <w: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timing and amount of any sales of our product candidates, if any, or royalties thereon</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our ability to establish new collaborations, licensing or other arrangements, if any, and the financial terms of such arrangements</w:t>
      </w:r>
      <w:r>
        <w:rPr>
          <w:rFonts w:ascii="Arial" w:cs="Arial" w:eastAsia="Arial" w:hAnsi="Arial"/>
          <w:sz w:val="18"/>
          <w:szCs w:val="18"/>
          <w:color w:val="000000"/>
        </w:rPr>
        <w:t>;</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212529"/>
        </w:rPr>
        <w:t>the costs involved in preparing, filing, prosecuting, maintaining, defending and enforcing patents, including any litigation costs and the outcomes of any such litigation</w:t>
      </w:r>
      <w:r>
        <w:rPr>
          <w:rFonts w:ascii="Arial" w:cs="Arial" w:eastAsia="Arial" w:hAnsi="Arial"/>
          <w:sz w:val="18"/>
          <w:szCs w:val="18"/>
          <w:color w:val="000000"/>
        </w:rPr>
        <w:t>;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fluctuations in foreign currency exchange rates.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5" w:name="page36"/>
    <w:bookmarkEnd w:id="35"/>
    <w:p>
      <w:pPr>
        <w:ind w:right="40"/>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1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17" w:lineRule="exact"/>
        <w:rPr>
          <w:sz w:val="20"/>
          <w:szCs w:val="20"/>
          <w:color w:val="auto"/>
        </w:rPr>
      </w:pPr>
    </w:p>
    <w:p>
      <w:pPr>
        <w:ind w:left="1000" w:right="30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17" w:lineRule="exact"/>
        <w:rPr>
          <w:rFonts w:ascii="Arial" w:cs="Arial" w:eastAsia="Arial" w:hAnsi="Arial"/>
          <w:sz w:val="18"/>
          <w:szCs w:val="18"/>
          <w:color w:val="auto"/>
        </w:rPr>
      </w:pPr>
    </w:p>
    <w:p>
      <w:pPr>
        <w:ind w:left="1000" w:right="56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failure to obtain on a timely basis, or at all, the necessary approvals from regulators or institutional review boards, or IRBs, in order to commence a clinical trial at a prospective trial site, or their suspension or termination of a clinical trial once commenced;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17" w:lineRule="exact"/>
        <w:rPr>
          <w:rFonts w:ascii="Arial" w:cs="Arial" w:eastAsia="Arial" w:hAnsi="Arial"/>
          <w:sz w:val="18"/>
          <w:szCs w:val="18"/>
          <w:color w:val="auto"/>
        </w:rPr>
      </w:pPr>
    </w:p>
    <w:p>
      <w:pPr>
        <w:ind w:left="1000" w:right="28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the COVID-19 pandemic on the ability of CROs to conduct their own operations, resulting in, among other things, delays in recruitment or dosing of our clinical trials;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seasonality and variations in incidents of infection year to year (e.g. RSV) affecting enrollment in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governmental or regulatory administration, including, for example, administrative delays due to the planned relocation of the EMA to the Netherlands;</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regulatory requirements, policy and guidelines, including guidelines specifically addressing requirements for the development of treatments for RSV, NASH, or HBV;</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difficulty in obtaining and maintaining adequate insurance coverage;</w:t>
      </w:r>
    </w:p>
    <w:p>
      <w:pPr>
        <w:spacing w:after="0" w:line="117" w:lineRule="exact"/>
        <w:rPr>
          <w:rFonts w:ascii="Arial" w:cs="Arial" w:eastAsia="Arial" w:hAnsi="Arial"/>
          <w:sz w:val="18"/>
          <w:szCs w:val="18"/>
          <w:color w:val="auto"/>
        </w:rPr>
      </w:pPr>
    </w:p>
    <w:p>
      <w:pPr>
        <w:ind w:left="1000" w:right="160" w:hanging="493"/>
        <w:spacing w:after="0" w:line="342" w:lineRule="auto"/>
        <w:tabs>
          <w:tab w:leader="none" w:pos="10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15" w:lineRule="exact"/>
        <w:rPr>
          <w:rFonts w:ascii="Arial" w:cs="Arial" w:eastAsia="Arial" w:hAnsi="Arial"/>
          <w:sz w:val="16"/>
          <w:szCs w:val="16"/>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6" w:name="page37"/>
    <w:bookmarkEnd w:id="36"/>
    <w:p>
      <w:pPr>
        <w:spacing w:after="0" w:line="271" w:lineRule="auto"/>
        <w:rPr>
          <w:sz w:val="20"/>
          <w:szCs w:val="20"/>
          <w:color w:val="auto"/>
        </w:rPr>
      </w:pPr>
      <w:r>
        <w:rPr>
          <w:rFonts w:ascii="Arial" w:cs="Arial" w:eastAsia="Arial" w:hAnsi="Arial"/>
          <w:sz w:val="17"/>
          <w:szCs w:val="17"/>
          <w:color w:val="auto"/>
        </w:rPr>
        <w:t>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in the long term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8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b w:val="1"/>
          <w:bCs w:val="1"/>
          <w:i w:val="1"/>
          <w:iCs w:val="1"/>
          <w:color w:val="auto"/>
        </w:rPr>
        <w:t>EDP-305, EDP-938, EDP-514 or any other product candidate emerging from our current NASH,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our NASH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5"/>
          <w:szCs w:val="15"/>
          <w:color w:val="auto"/>
        </w:rPr>
        <w:t>®</w:t>
      </w:r>
      <w:r>
        <w:rPr>
          <w:rFonts w:ascii="Arial" w:cs="Arial" w:eastAsia="Arial" w:hAnsi="Arial"/>
          <w:sz w:val="18"/>
          <w:szCs w:val="18"/>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7"/>
          <w:szCs w:val="17"/>
          <w:color w:val="212121"/>
        </w:rPr>
        <w:t>development programs being negatively</w:t>
      </w:r>
      <w:r>
        <w:rPr>
          <w:rFonts w:ascii="Arial" w:cs="Arial" w:eastAsia="Arial" w:hAnsi="Arial"/>
          <w:sz w:val="17"/>
          <w:szCs w:val="17"/>
          <w:color w:val="auto"/>
        </w:rPr>
        <w:t xml:space="preserve"> </w:t>
      </w:r>
      <w:r>
        <w:rPr>
          <w:rFonts w:ascii="Arial" w:cs="Arial" w:eastAsia="Arial" w:hAnsi="Arial"/>
          <w:sz w:val="17"/>
          <w:szCs w:val="17"/>
          <w:color w:val="212121"/>
        </w:rPr>
        <w:t>affected even if such events or symptoms are ultimately determined to be unlikely related to our drug candidates.</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8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or unacceptable side effects caused by such products:</w:t>
      </w:r>
    </w:p>
    <w:p>
      <w:pPr>
        <w:spacing w:after="0" w:line="62" w:lineRule="exact"/>
        <w:rPr>
          <w:sz w:val="20"/>
          <w:szCs w:val="20"/>
          <w:color w:val="auto"/>
        </w:rPr>
      </w:pPr>
    </w:p>
    <w:p>
      <w:pPr>
        <w:ind w:left="1000" w:right="2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62"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reputation and our stock price may suffer.</w:t>
      </w:r>
    </w:p>
    <w:p>
      <w:pPr>
        <w:spacing w:after="0" w:line="117"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7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5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56" w:lineRule="exact"/>
        <w:rPr>
          <w:sz w:val="20"/>
          <w:szCs w:val="20"/>
          <w:color w:val="auto"/>
        </w:rPr>
      </w:pPr>
    </w:p>
    <w:p>
      <w:pPr>
        <w:jc w:val="both"/>
        <w:ind w:right="540"/>
        <w:spacing w:after="0" w:line="263"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ourselves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140" w:lineRule="exact"/>
        <w:rPr>
          <w:rFonts w:ascii="Arial" w:cs="Arial" w:eastAsia="Arial" w:hAnsi="Arial"/>
          <w:sz w:val="16"/>
          <w:szCs w:val="16"/>
          <w:color w:val="auto"/>
        </w:rPr>
      </w:pPr>
    </w:p>
    <w:p>
      <w:pPr>
        <w:ind w:left="1000" w:right="2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other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1000" w:right="4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interpretation of data from preclinical studies or clinical trials;</w:t>
      </w:r>
    </w:p>
    <w:p>
      <w:pPr>
        <w:spacing w:after="0" w:line="62" w:lineRule="exact"/>
        <w:rPr>
          <w:rFonts w:ascii="Arial" w:cs="Arial" w:eastAsia="Arial" w:hAnsi="Arial"/>
          <w:sz w:val="18"/>
          <w:szCs w:val="18"/>
          <w:color w:val="auto"/>
        </w:rPr>
      </w:pPr>
    </w:p>
    <w:p>
      <w:pPr>
        <w:ind w:left="1000" w:right="82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62" w:lineRule="exact"/>
        <w:rPr>
          <w:rFonts w:ascii="Arial" w:cs="Arial" w:eastAsia="Arial" w:hAnsi="Arial"/>
          <w:sz w:val="18"/>
          <w:szCs w:val="18"/>
          <w:color w:val="auto"/>
        </w:rPr>
      </w:pPr>
    </w:p>
    <w:p>
      <w:pPr>
        <w:ind w:left="1000" w:right="960" w:hanging="493"/>
        <w:spacing w:after="0" w:line="308" w:lineRule="auto"/>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clinical data insufficient for approval.</w:t>
      </w:r>
    </w:p>
    <w:p>
      <w:pPr>
        <w:spacing w:after="0" w:line="62"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76"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70" w:lineRule="exact"/>
        <w:rPr>
          <w:sz w:val="20"/>
          <w:szCs w:val="20"/>
          <w:color w:val="auto"/>
        </w:rPr>
      </w:pPr>
    </w:p>
    <w:p>
      <w:pPr>
        <w:ind w:left="1000" w:right="1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17" w:lineRule="exact"/>
        <w:rPr>
          <w:rFonts w:ascii="Arial" w:cs="Arial" w:eastAsia="Arial" w:hAnsi="Arial"/>
          <w:sz w:val="18"/>
          <w:szCs w:val="18"/>
          <w:color w:val="auto"/>
        </w:rPr>
      </w:pPr>
    </w:p>
    <w:p>
      <w:pPr>
        <w:ind w:left="1000" w:right="48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product license approvals;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9" w:name="page40"/>
    <w:bookmarkEnd w:id="39"/>
    <w:p>
      <w:pPr>
        <w:ind w:right="20"/>
        <w:spacing w:after="0" w:line="257"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8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Unfavorable pricing regulations, third-party reimbursement practices or healthcare reform initiatives in the United States could harm our business.</w:t>
      </w:r>
    </w:p>
    <w:p>
      <w:pPr>
        <w:spacing w:after="0" w:line="140"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has significantly changed the way healthcare is financed by both governmental and private insurers. While we cannot predict what impact on federal reimbursement policies this law or any amendment to it will continue to have in general or specifically on MAVYRET/MAVIRET or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 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On December 14, 2018, a United States District Court judge in Texas ruled that the Affordable Care Act is unconstitutional in its entirety because the “individual mandate” was repealed by Congress as part of the Tax Cuts and Jobs Act of 2017. While this U.S. District Court judge, as well as the Trump administration and Centers for Medicare and Medicaid Services, have stated that the ruling will have no immediate effect pending appeal of the decision, on December 18, 2019, the Fifth Circuit U.S. Court of Appeals held that the individual mandate is unconstitutional and remanded the case to the District Court to reconsider its earlier invalidation of the entire Affordable Care Act. It is unclear how this decision, subsequent proceedings and appeals in this case, and other efforts to repeal and replace the Affordable Care Act will impact the Affordable Care Act. We cannot predict what legislation, if any, to repeal or replace the ACA will become law, or what impact any such legislation, or the Texas court challenge, may have on us or on AbbVie’s sales of MAVYRET/MAVIRET.</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other legislative changes have been proposed since the Affordable Care Act was enacted. There has been increasing legislative and enforcement interest in the United States with respect to drug pricing practices. Specifically, there have been several recent U.S. congressional inquiries and proposed bills designed to, among other things, bring more transparency to drug pricing, reduce the cost of prescription drugs under Medicare, review the relationship between pricing and manufacturer patient programs and reform government program reimbursement methodologies for drugs. We expect any healthcare reform measures that may be adopted in the future could result in more rigorous coverage criteria and an additional downward pressure on the price that AbbVie receives for MAVYRET/MAVIRET, which could seriously harm our future revenues, and the price of our common stock could be materially adversely affected.</w:t>
      </w:r>
    </w:p>
    <w:p>
      <w:pPr>
        <w:spacing w:after="0" w:line="8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ability to commercialize any product candidate successfully, as well as AbbVie’s continued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0" w:name="page41"/>
    <w:bookmarkEnd w:id="40"/>
    <w:p>
      <w:pPr>
        <w:ind w:right="40"/>
        <w:spacing w:after="0" w:line="275" w:lineRule="auto"/>
        <w:rPr>
          <w:sz w:val="20"/>
          <w:szCs w:val="20"/>
          <w:color w:val="auto"/>
        </w:rPr>
      </w:pPr>
      <w:r>
        <w:rPr>
          <w:rFonts w:ascii="Arial" w:cs="Arial" w:eastAsia="Arial" w:hAnsi="Arial"/>
          <w:sz w:val="17"/>
          <w:szCs w:val="17"/>
          <w:color w:val="auto"/>
        </w:rPr>
        <w:t>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continue to obtain coverage and profitable payment rates from both government-funded and private payors for MAVYRET/MAVIRET, or our inability to obtain the same for any product candidate that we develop, could have a material adverse effect on our operating results, our ability to raise capital needed to commercialize products and our overall financial condition.</w:t>
      </w:r>
    </w:p>
    <w:p>
      <w:pPr>
        <w:spacing w:after="0" w:line="64"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7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6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6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79"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57"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persuade adequate numbers of physicians to prescribe any products;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1000" w:right="140" w:hanging="493"/>
        <w:spacing w:after="0" w:line="277"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Commercial success of our product candidates depends upon significant market acceptance among physicians, patients and healthcare payors of any resulting approved drug.</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MAVYRET/MAVIRET, as well as EDP-305, EDP-938, EDP-514 and any other product candidate that we may develop in the future, whether as part of a combination therapy or as a monotherapy, are subject to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79" w:lineRule="exact"/>
        <w:rPr>
          <w:sz w:val="20"/>
          <w:szCs w:val="20"/>
          <w:color w:val="auto"/>
        </w:rPr>
      </w:pPr>
    </w:p>
    <w:p>
      <w:pPr>
        <w:ind w:left="1000" w:right="200" w:hanging="493"/>
        <w:spacing w:after="0" w:line="308"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payors and patients of any treatment regimen containing one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cost of treatment of regimens containing one of our product candidates in relation to the cost of alternative treatments;</w:t>
      </w:r>
    </w:p>
    <w:p>
      <w:pPr>
        <w:spacing w:after="0" w:line="117" w:lineRule="exact"/>
        <w:rPr>
          <w:rFonts w:ascii="Arial" w:cs="Arial" w:eastAsia="Arial" w:hAnsi="Arial"/>
          <w:sz w:val="18"/>
          <w:szCs w:val="18"/>
          <w:color w:val="auto"/>
        </w:rPr>
      </w:pPr>
    </w:p>
    <w:p>
      <w:pPr>
        <w:jc w:val="both"/>
        <w:ind w:left="1000" w:right="220" w:hanging="493"/>
        <w:spacing w:after="0" w:line="286" w:lineRule="auto"/>
        <w:tabs>
          <w:tab w:leader="none" w:pos="10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continued longevity of the HCV drug market or growth and longevity of any other market for which we develop a drug;</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levels of funding provided by government-funded healthcare for HCV treatment or treatment of any other disease for which we develop a drug;</w:t>
      </w:r>
    </w:p>
    <w:p>
      <w:pPr>
        <w:spacing w:after="0" w:line="62"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 compared to competitive regimens;</w:t>
      </w:r>
    </w:p>
    <w:p>
      <w:pPr>
        <w:spacing w:after="0" w:line="62" w:lineRule="exact"/>
        <w:rPr>
          <w:rFonts w:ascii="Arial" w:cs="Arial" w:eastAsia="Arial" w:hAnsi="Arial"/>
          <w:sz w:val="18"/>
          <w:szCs w:val="18"/>
          <w:color w:val="auto"/>
        </w:rPr>
      </w:pPr>
    </w:p>
    <w:p>
      <w:pPr>
        <w:ind w:left="1000" w:right="740" w:hanging="493"/>
        <w:spacing w:after="0" w:line="277" w:lineRule="auto"/>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treatment regimens containing one of our products candidates or similar, competitive treatment regimens;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 and those of AbbVie in the case of MAVYRET/MAVIRET.</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380"/>
        <w:spacing w:after="0" w:line="375"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product candidates. If we are unsuccessful in maintaining or forming alliances on favorable terms, our business may not succeed.</w:t>
      </w:r>
    </w:p>
    <w:p>
      <w:pPr>
        <w:spacing w:after="0" w:line="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62" w:lineRule="exact"/>
        <w:rPr>
          <w:sz w:val="20"/>
          <w:szCs w:val="20"/>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development of certain of our product candidates may be terminated or delayed;</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product candidates would increase significantly and we may need to seek additional financing;</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7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shutdowns of manufacturing sites as a result of the COVID-19 pandemic,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43" w:name="page44"/>
    <w:bookmarkEnd w:id="43"/>
    <w:p>
      <w:pPr>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6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or a trade war, political unrest or an epidemic in China, such as the COVID-19 pandemic, could materially adversely affect our business, financial condition and results of operations.</w:t>
      </w:r>
    </w:p>
    <w:p>
      <w:pPr>
        <w:spacing w:after="0" w:line="63"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pandemics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For example, either of these risks could be triggered by an epidemic such as the recent outbreak of COVID-19 in the Wuhan region of China. To date our contract manufacturer in China, which is not located in the Wuhan region, has not had any material delays in its ability to deliver API and other services.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6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4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engagement is terminated, we may be unable to enroll patients on a timely basis or otherwise conduct our trials in the manner we anticipate. In the case of our ongoing studies, we have recently announced a pausing of recruitment and dosing of the ARGON-2 Phase 2b NASH study and Part 2 of our Phase 1a/1b study of EDP-514 in nuc-suppressed HBV patients as a result of the COVID-19 pandemic, which is expected to delay completion of those clinical trials. In addition, there is no guarantee that these third parties will devote adequate time and resources to our studies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4" w:name="page45"/>
    <w:bookmarkEnd w:id="44"/>
    <w:p>
      <w:pPr>
        <w:ind w:right="140"/>
        <w:spacing w:after="0" w:line="275" w:lineRule="auto"/>
        <w:rPr>
          <w:sz w:val="20"/>
          <w:szCs w:val="20"/>
          <w:color w:val="auto"/>
        </w:rPr>
      </w:pPr>
      <w:r>
        <w:rPr>
          <w:rFonts w:ascii="Arial" w:cs="Arial" w:eastAsia="Arial" w:hAnsi="Arial"/>
          <w:sz w:val="17"/>
          <w:szCs w:val="17"/>
          <w:color w:val="auto"/>
        </w:rPr>
        <w:t>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68"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8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2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79"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3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6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6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8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7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7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63"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7" w:name="page48"/>
    <w:bookmarkEnd w:id="47"/>
    <w:p>
      <w:pPr>
        <w:ind w:right="60"/>
        <w:spacing w:after="0" w:line="275"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6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2" w:lineRule="exact"/>
        <w:rPr>
          <w:sz w:val="20"/>
          <w:szCs w:val="20"/>
          <w:color w:val="auto"/>
        </w:rPr>
      </w:pPr>
    </w:p>
    <w:p>
      <w:pPr>
        <w:ind w:left="1000" w:right="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00" w:right="20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38" w:lineRule="exact"/>
        <w:rPr>
          <w:rFonts w:ascii="Arial" w:cs="Arial" w:eastAsia="Arial" w:hAnsi="Arial"/>
          <w:sz w:val="17"/>
          <w:szCs w:val="17"/>
          <w:color w:val="auto"/>
        </w:rPr>
      </w:pPr>
    </w:p>
    <w:p>
      <w:pPr>
        <w:ind w:left="1000" w:right="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 which could result in the patent applications not issuing or being invalidated after issuing;</w:t>
      </w:r>
    </w:p>
    <w:p>
      <w:pPr>
        <w:spacing w:after="0" w:line="62"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17" w:lineRule="exact"/>
        <w:rPr>
          <w:rFonts w:ascii="Arial" w:cs="Arial" w:eastAsia="Arial" w:hAnsi="Arial"/>
          <w:sz w:val="18"/>
          <w:szCs w:val="18"/>
          <w:color w:val="auto"/>
        </w:rPr>
      </w:pPr>
    </w:p>
    <w:p>
      <w:pPr>
        <w:ind w:left="1000" w:right="100" w:hanging="493"/>
        <w:spacing w:after="0" w:line="259"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8" w:lineRule="exact"/>
        <w:rPr>
          <w:rFonts w:ascii="Arial" w:cs="Arial" w:eastAsia="Arial" w:hAnsi="Arial"/>
          <w:sz w:val="18"/>
          <w:szCs w:val="18"/>
          <w:color w:val="auto"/>
        </w:rPr>
      </w:pPr>
    </w:p>
    <w:p>
      <w:pPr>
        <w:ind w:left="1000" w:right="74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17" w:lineRule="exact"/>
        <w:rPr>
          <w:rFonts w:ascii="Arial" w:cs="Arial" w:eastAsia="Arial" w:hAnsi="Arial"/>
          <w:sz w:val="18"/>
          <w:szCs w:val="18"/>
          <w:color w:val="auto"/>
        </w:rPr>
      </w:pPr>
    </w:p>
    <w:p>
      <w:pPr>
        <w:ind w:left="1000" w:right="80" w:hanging="493"/>
        <w:spacing w:after="0" w:line="308" w:lineRule="auto"/>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38" w:lineRule="exact"/>
        <w:rPr>
          <w:rFonts w:ascii="Arial" w:cs="Arial" w:eastAsia="Arial" w:hAnsi="Arial"/>
          <w:sz w:val="17"/>
          <w:szCs w:val="17"/>
          <w:color w:val="auto"/>
        </w:rPr>
      </w:pPr>
    </w:p>
    <w:p>
      <w:pPr>
        <w:ind w:left="1000" w:right="2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right="20"/>
        <w:spacing w:after="0" w:line="301" w:lineRule="auto"/>
        <w:rPr>
          <w:sz w:val="20"/>
          <w:szCs w:val="20"/>
          <w:color w:val="auto"/>
        </w:rPr>
      </w:pPr>
      <w:r>
        <w:rPr>
          <w:rFonts w:ascii="Arial" w:cs="Arial" w:eastAsia="Arial" w:hAnsi="Arial"/>
          <w:sz w:val="16"/>
          <w:szCs w:val="16"/>
          <w:color w:val="auto"/>
        </w:rPr>
        <w:t>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11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pandemics,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ind w:right="160"/>
        <w:spacing w:after="0" w:line="273" w:lineRule="auto"/>
        <w:rPr>
          <w:sz w:val="20"/>
          <w:szCs w:val="20"/>
          <w:color w:val="auto"/>
        </w:rPr>
      </w:pPr>
      <w:r>
        <w:rPr>
          <w:rFonts w:ascii="Arial" w:cs="Arial" w:eastAsia="Arial" w:hAnsi="Arial"/>
          <w:sz w:val="17"/>
          <w:szCs w:val="17"/>
          <w:color w:val="auto"/>
        </w:rPr>
        <w:t>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7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80" w:lineRule="exact"/>
        <w:rPr>
          <w:sz w:val="20"/>
          <w:szCs w:val="20"/>
          <w:color w:val="auto"/>
        </w:rPr>
      </w:pPr>
    </w:p>
    <w:p>
      <w:pPr>
        <w:ind w:left="1000" w:hanging="493"/>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78" w:lineRule="exact"/>
        <w:rPr>
          <w:rFonts w:ascii="Arial" w:cs="Arial" w:eastAsia="Arial" w:hAnsi="Arial"/>
          <w:sz w:val="18"/>
          <w:szCs w:val="18"/>
          <w:color w:val="auto"/>
        </w:rPr>
      </w:pPr>
    </w:p>
    <w:p>
      <w:pPr>
        <w:jc w:val="both"/>
        <w:ind w:left="1000" w:right="320" w:hanging="493"/>
        <w:spacing w:after="0" w:line="286"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57" w:lineRule="exact"/>
        <w:rPr>
          <w:rFonts w:ascii="Arial" w:cs="Arial" w:eastAsia="Arial" w:hAnsi="Arial"/>
          <w:sz w:val="17"/>
          <w:szCs w:val="17"/>
          <w:color w:val="auto"/>
        </w:rPr>
      </w:pPr>
    </w:p>
    <w:p>
      <w:pPr>
        <w:ind w:left="1000" w:right="300" w:hanging="493"/>
        <w:spacing w:after="0" w:line="259"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18"/>
          <w:szCs w:val="18"/>
          <w:color w:val="auto"/>
        </w:rPr>
      </w:pPr>
    </w:p>
    <w:p>
      <w:pPr>
        <w:ind w:left="1000" w:right="440" w:hanging="493"/>
        <w:spacing w:after="0" w:line="30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38" w:lineRule="exact"/>
        <w:rPr>
          <w:rFonts w:ascii="Arial" w:cs="Arial" w:eastAsia="Arial" w:hAnsi="Arial"/>
          <w:sz w:val="17"/>
          <w:szCs w:val="17"/>
          <w:color w:val="auto"/>
        </w:rPr>
      </w:pPr>
    </w:p>
    <w:p>
      <w:pPr>
        <w:ind w:left="1000" w:right="40" w:hanging="493"/>
        <w:spacing w:after="0" w:line="263"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5" w:lineRule="exact"/>
        <w:rPr>
          <w:rFonts w:ascii="Arial" w:cs="Arial" w:eastAsia="Arial" w:hAnsi="Arial"/>
          <w:sz w:val="18"/>
          <w:szCs w:val="18"/>
          <w:color w:val="auto"/>
        </w:rPr>
      </w:pPr>
    </w:p>
    <w:p>
      <w:pPr>
        <w:ind w:left="1000" w:right="120" w:hanging="493"/>
        <w:spacing w:after="0" w:line="275"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8" w:lineRule="exact"/>
        <w:rPr>
          <w:rFonts w:ascii="Arial" w:cs="Arial" w:eastAsia="Arial" w:hAnsi="Arial"/>
          <w:sz w:val="17"/>
          <w:szCs w:val="17"/>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117"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0" w:name="page51"/>
    <w:bookmarkEnd w:id="50"/>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76"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specified business risks, which will leave us exposed to significant uninsured liabilities.</w:t>
      </w:r>
    </w:p>
    <w:p>
      <w:pPr>
        <w:spacing w:after="0" w:line="15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or changes in the insurance market generally, may result in us being required to pay substantially higher premiums for our directors’ and officers’ liability insurance than those to which we were previously subject and may even cause one or more of our underwriters to be unwilling to insure us.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From September 30, 2014 through March 31, 2020, the daily closing price of our common stock on the NASDAQ Global Select Market has ranged from $21.00 to $126.37.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which in some cases has been exacerbated by the COVID-19 pandemic. As a result of this volatility, you may not be able to sell your holdings of our common stock at or above your purchase price, if at all. The market price for our common stock may be influenced by many factors, including:</w:t>
      </w:r>
    </w:p>
    <w:p>
      <w:pPr>
        <w:spacing w:after="0" w:line="56" w:lineRule="exact"/>
        <w:rPr>
          <w:sz w:val="20"/>
          <w:szCs w:val="20"/>
          <w:color w:val="auto"/>
        </w:rPr>
      </w:pPr>
    </w:p>
    <w:p>
      <w:pPr>
        <w:ind w:left="1000" w:right="5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actions by AbbVie regarding the MAVYRET/MAVIRET regimen containing glecaprevir as approved in the U.S., EU and Japan, including announcements regarding regulatory or commercial developments;</w:t>
      </w:r>
    </w:p>
    <w:p>
      <w:pPr>
        <w:spacing w:after="0" w:line="62"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market expectations about and response to the levels of sales or scripts achieved by, or the announced prices or discounts for, AbbVie’s MAVYRET/MAVIRET regimen or competitive HCV drugs;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of AbbVie’s MAVYRET/MAVIRET regimen to maintain its sales levels;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dependence on third parties, including our collaborators, CROs, manufacturers, clinical trial sponsors and clinical investigators;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political or legal developments in the United States or other countries;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1" w:name="page52"/>
    <w:bookmarkEnd w:id="51"/>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we develop independently, if approved;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period-to-period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or other actions that affect the effective reimbursement rates for treatment regimens containing our products or for competitive regimens;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63" w:lineRule="exact"/>
        <w:rPr>
          <w:sz w:val="20"/>
          <w:szCs w:val="20"/>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62"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17"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provide that the state courts or, in certain circumstances, the federal courts, in Delaware shall be the sole and exclusive forum for certain actions involving us, our directors, officers, employees and stockholders;</w:t>
      </w:r>
    </w:p>
    <w:p>
      <w:pPr>
        <w:spacing w:after="0" w:line="62" w:lineRule="exact"/>
        <w:rPr>
          <w:rFonts w:ascii="Arial" w:cs="Arial" w:eastAsia="Arial" w:hAnsi="Arial"/>
          <w:sz w:val="18"/>
          <w:szCs w:val="18"/>
          <w:color w:val="auto"/>
        </w:rPr>
      </w:pPr>
    </w:p>
    <w:p>
      <w:pPr>
        <w:ind w:left="1000" w:right="480" w:hanging="493"/>
        <w:spacing w:after="0" w:line="286" w:lineRule="auto"/>
        <w:tabs>
          <w:tab w:leader="none" w:pos="10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57" w:lineRule="exact"/>
        <w:rPr>
          <w:rFonts w:ascii="Arial" w:cs="Arial" w:eastAsia="Arial" w:hAnsi="Arial"/>
          <w:sz w:val="17"/>
          <w:szCs w:val="17"/>
          <w:color w:val="auto"/>
        </w:rPr>
      </w:pPr>
    </w:p>
    <w:p>
      <w:pPr>
        <w:ind w:left="1000" w:right="48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2" w:name="page53"/>
    <w:bookmarkEnd w:id="52"/>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$4.3 million for severance and other non-equity-based benefits in the event of a termination of employment in connection with a change of control of our company. In addition, based on the closing price of our common stock as of March 31, 2020 of $51.43 per common share, the aggregate intrinsic value of unvested stock options and other equity awards subject to accelerated vesting upon these events was $7.1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5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failure to maintain effective internal control as a result of shutdowns during the global COVID-19 pandemic could result in deficiencies in internal control.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5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6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6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2020, we had 20.0 million shares of common stock outstanding. In addition, as of March 31, 2020, 3.3 million and 0.1 million shares of common stock that are subject to outstanding options or restricted stock unit awards, respectively, under our outstanding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220" w:type="dxa"/>
            <w:vAlign w:val="bottom"/>
            <w:gridSpan w:val="10"/>
          </w:tcPr>
          <w:p>
            <w:pPr>
              <w:ind w:left="16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04"/>
        </w:trPr>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5220" w:type="dxa"/>
            <w:vAlign w:val="bottom"/>
            <w:gridSpan w:val="10"/>
            <w:vMerge w:val="restart"/>
          </w:tcPr>
          <w:p>
            <w:pPr>
              <w:ind w:left="20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52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24"/>
                <w:szCs w:val="24"/>
                <w:color w:val="auto"/>
              </w:rPr>
            </w:pPr>
          </w:p>
        </w:tc>
        <w:tc>
          <w:tcPr>
            <w:tcW w:w="5220" w:type="dxa"/>
            <w:vAlign w:val="bottom"/>
            <w:tcBorders>
              <w:top w:val="single" w:sz="8" w:color="auto"/>
            </w:tcBorders>
            <w:gridSpan w:val="10"/>
          </w:tcPr>
          <w:p>
            <w:pPr>
              <w:spacing w:after="0"/>
              <w:rPr>
                <w:rFonts w:ascii="Arial" w:cs="Arial" w:eastAsia="Arial" w:hAnsi="Arial"/>
                <w:sz w:val="18"/>
                <w:szCs w:val="18"/>
                <w:u w:val="single" w:color="auto"/>
                <w:color w:val="0000EE"/>
                <w:w w:val="95"/>
              </w:rPr>
            </w:pPr>
            <w:hyperlink r:id="rId82">
              <w:r>
                <w:rPr>
                  <w:rFonts w:ascii="Arial" w:cs="Arial" w:eastAsia="Arial" w:hAnsi="Arial"/>
                  <w:sz w:val="18"/>
                  <w:szCs w:val="18"/>
                  <w:u w:val="single" w:color="auto"/>
                  <w:color w:val="0000EE"/>
                  <w:w w:val="95"/>
                </w:rPr>
                <w:t>Restated Certificate of Incorporation of Enanta Pharmaceuticals, Inc.</w:t>
              </w:r>
            </w:hyperlink>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6"/>
              </w:rPr>
            </w:pPr>
            <w:hyperlink r:id="rId83">
              <w:r>
                <w:rPr>
                  <w:rFonts w:ascii="Arial" w:cs="Arial" w:eastAsia="Arial" w:hAnsi="Arial"/>
                  <w:sz w:val="18"/>
                  <w:szCs w:val="18"/>
                  <w:color w:val="0000EE"/>
                  <w:w w:val="96"/>
                </w:rPr>
                <w:t>Amended and Restated Bylaws of Enanta Pharmaceuticals, Inc. (as</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amended and restated in August 2015)</w:t>
              </w:r>
            </w:hyperlink>
          </w:p>
        </w:tc>
        <w:tc>
          <w:tcPr>
            <w:tcW w:w="3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3"/>
              </w:rPr>
            </w:pPr>
            <w:hyperlink w:anchor="page56">
              <w:r>
                <w:rPr>
                  <w:rFonts w:ascii="Arial" w:cs="Arial" w:eastAsia="Arial" w:hAnsi="Arial"/>
                  <w:sz w:val="18"/>
                  <w:szCs w:val="18"/>
                  <w:color w:val="0000EE"/>
                  <w:w w:val="93"/>
                </w:rPr>
                <w:t>Certification of the Chief Executive Officer pursuant to Rule 13a-14(a)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or 15d-14(a) of the Securities Exchange Act of 1934.</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80" w:type="dxa"/>
            <w:vAlign w:val="bottom"/>
          </w:tcPr>
          <w:p>
            <w:pPr>
              <w:spacing w:after="0"/>
              <w:rPr>
                <w:sz w:val="24"/>
                <w:szCs w:val="24"/>
                <w:color w:val="auto"/>
              </w:rPr>
            </w:pPr>
          </w:p>
        </w:tc>
        <w:tc>
          <w:tcPr>
            <w:tcW w:w="5220" w:type="dxa"/>
            <w:vAlign w:val="bottom"/>
            <w:gridSpan w:val="10"/>
          </w:tcPr>
          <w:p>
            <w:pPr>
              <w:spacing w:after="0"/>
              <w:rPr>
                <w:rFonts w:ascii="Arial" w:cs="Arial" w:eastAsia="Arial" w:hAnsi="Arial"/>
                <w:sz w:val="18"/>
                <w:szCs w:val="18"/>
                <w:color w:val="0000EE"/>
                <w:w w:val="96"/>
              </w:rPr>
            </w:pPr>
            <w:hyperlink w:anchor="page57">
              <w:r>
                <w:rPr>
                  <w:rFonts w:ascii="Arial" w:cs="Arial" w:eastAsia="Arial" w:hAnsi="Arial"/>
                  <w:sz w:val="18"/>
                  <w:szCs w:val="18"/>
                  <w:color w:val="0000EE"/>
                  <w:w w:val="96"/>
                </w:rPr>
                <w:t>Certification of Chief Financial Officer pursuant to Rule 13a-14(a) or</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15d-14(a) of the Securities Exchange Act of 1934.</w:t>
              </w:r>
            </w:hyperlink>
          </w:p>
        </w:tc>
        <w:tc>
          <w:tcPr>
            <w:tcW w:w="136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80" w:type="dxa"/>
            <w:vAlign w:val="bottom"/>
          </w:tcPr>
          <w:p>
            <w:pPr>
              <w:spacing w:after="0"/>
              <w:rPr>
                <w:sz w:val="24"/>
                <w:szCs w:val="24"/>
                <w:color w:val="auto"/>
              </w:rPr>
            </w:pPr>
          </w:p>
        </w:tc>
        <w:tc>
          <w:tcPr>
            <w:tcW w:w="518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58">
              <w:r>
                <w:rPr>
                  <w:rFonts w:ascii="Arial" w:cs="Arial" w:eastAsia="Arial" w:hAnsi="Arial"/>
                  <w:sz w:val="18"/>
                  <w:szCs w:val="18"/>
                  <w:color w:val="0000EE"/>
                  <w:w w:val="93"/>
                </w:rPr>
                <w:t>Certification of the Chief Executive Officer and Chief Financial Officer</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1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pursuant to 18 U.S.C. Section 1350, as adopted pursuant to Section 906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2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1000" w:right="20" w:hanging="675"/>
        <w:spacing w:after="0" w:line="271" w:lineRule="auto"/>
        <w:tabs>
          <w:tab w:leader="none" w:pos="10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following financial statements from the Quarterly Report of Enanta Pharmaceuticals, Inc. on Form 10-Q for the quarter ended March 31, 2020, formatted in Inline XBRL: (i) Consolidated Balance Sheets, (ii) Consolidated Statements of Operations, (iii) Consolidated Statements of Comprehensive Income, (iv) Consolidated Statements of Stockholders’ Equity, (v) Consolidated Statements of Cash Flows, (vi) and Notes to Consolidated Financial Statements, tagged as blocks of text and including detailed tags</w:t>
      </w:r>
    </w:p>
    <w:p>
      <w:pPr>
        <w:spacing w:after="0" w:line="84" w:lineRule="exact"/>
        <w:rPr>
          <w:sz w:val="20"/>
          <w:szCs w:val="20"/>
          <w:color w:val="auto"/>
        </w:rPr>
      </w:pPr>
    </w:p>
    <w:p>
      <w:pPr>
        <w:ind w:left="1000" w:right="560" w:hanging="675"/>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212529"/>
        </w:rPr>
        <w:t>Cover Page Interactive Data File (formatted as Inline XBRL and contained in Exhibit 101).</w:t>
      </w:r>
    </w:p>
    <w:p>
      <w:pPr>
        <w:spacing w:after="0" w:line="38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19"/>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0"/>
                <w:szCs w:val="10"/>
                <w:color w:val="auto"/>
              </w:rPr>
            </w:pPr>
          </w:p>
        </w:tc>
        <w:tc>
          <w:tcPr>
            <w:tcW w:w="94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10"/>
                <w:szCs w:val="10"/>
                <w:color w:val="auto"/>
              </w:rPr>
            </w:pPr>
          </w:p>
        </w:tc>
        <w:tc>
          <w:tcPr>
            <w:tcW w:w="1000" w:type="dxa"/>
            <w:vAlign w:val="bottom"/>
            <w:gridSpan w:val="2"/>
          </w:tcPr>
          <w:p>
            <w:pPr>
              <w:ind w:left="220"/>
              <w:spacing w:after="0" w:line="119" w:lineRule="exact"/>
              <w:rPr>
                <w:sz w:val="20"/>
                <w:szCs w:val="20"/>
                <w:color w:val="auto"/>
              </w:rPr>
            </w:pPr>
            <w:r>
              <w:rPr>
                <w:rFonts w:ascii="Arial" w:cs="Arial" w:eastAsia="Arial" w:hAnsi="Arial"/>
                <w:sz w:val="13"/>
                <w:szCs w:val="13"/>
                <w:b w:val="1"/>
                <w:bCs w:val="1"/>
                <w:color w:val="auto"/>
              </w:rPr>
              <w:t>Exhibit</w:t>
            </w:r>
          </w:p>
        </w:tc>
        <w:tc>
          <w:tcPr>
            <w:tcW w:w="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File Number</w:t>
            </w:r>
          </w:p>
        </w:tc>
        <w:tc>
          <w:tcPr>
            <w:tcW w:w="100" w:type="dxa"/>
            <w:vAlign w:val="bottom"/>
            <w:vMerge w:val="restart"/>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08/18/2015</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001-35839</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4"/>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53"/>
        </w:trPr>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69"/>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6220" w:space="100"/>
            <w:col w:w="4920"/>
          </w:cols>
          <w:pgMar w:left="320" w:top="337"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ENANTA PHARMACEUTICALS,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320" w:top="337"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1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17"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quarter ended March 31, 2020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Dated: May 11, 2020</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R. Luly, Ph.D.</w:t>
            </w:r>
          </w:p>
        </w:tc>
      </w:tr>
      <w:tr>
        <w:trPr>
          <w:trHeight w:val="195"/>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Jay R. Luly, Ph.D.</w:t>
            </w:r>
          </w:p>
        </w:tc>
      </w:t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59"/>
        </w:trPr>
        <w:tc>
          <w:tcPr>
            <w:tcW w:w="4140" w:type="dxa"/>
            <w:vAlign w:val="bottom"/>
          </w:tcPr>
          <w:p>
            <w:pPr>
              <w:spacing w:after="0"/>
              <w:rPr>
                <w:sz w:val="20"/>
                <w:szCs w:val="20"/>
                <w:color w:val="auto"/>
              </w:rPr>
            </w:pPr>
            <w:r>
              <w:rPr>
                <w:rFonts w:ascii="Arial" w:cs="Arial" w:eastAsia="Arial" w:hAnsi="Arial"/>
                <w:sz w:val="18"/>
                <w:szCs w:val="18"/>
                <w:color w:val="auto"/>
              </w:rPr>
              <w:t>Dated: May 11, 2020</w:t>
            </w:r>
          </w:p>
        </w:tc>
        <w:tc>
          <w:tcPr>
            <w:tcW w:w="3060" w:type="dxa"/>
            <w:vAlign w:val="bottom"/>
          </w:tcPr>
          <w:p>
            <w:pPr>
              <w:ind w:left="2620"/>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J. Mellett</w:t>
            </w:r>
          </w:p>
        </w:tc>
      </w:tr>
      <w:tr>
        <w:trPr>
          <w:trHeight w:val="195"/>
        </w:trPr>
        <w:tc>
          <w:tcPr>
            <w:tcW w:w="414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rPr>
              <w:t>Paul J. Mellett</w:t>
            </w:r>
          </w:p>
        </w:tc>
      </w:tr>
      <w:tr>
        <w:trPr>
          <w:trHeight w:val="230"/>
        </w:trPr>
        <w:tc>
          <w:tcPr>
            <w:tcW w:w="41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decimal"/>
      <w:start w:val="8"/>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decimal"/>
      <w:start w:val="12"/>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o"/>
      <w:numFmt w:val="bullet"/>
      <w:start w:val="1"/>
    </w:lvl>
  </w:abstractNum>
  <w:abstractNum w:abstractNumId="17">
    <w:nsid w:val="4516DDE9"/>
    <w:multiLevelType w:val="hybridMultilevel"/>
    <w:lvl w:ilvl="0">
      <w:lvlJc w:val="left"/>
      <w:lvlText w:val="o"/>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o"/>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lowerLetter"/>
      <w:start w:val="1"/>
    </w:lvl>
  </w:abstractNum>
  <w:abstractNum w:abstractNumId="24">
    <w:nsid w:val="3804823E"/>
    <w:multiLevelType w:val="hybridMultilevel"/>
    <w:lvl w:ilvl="0">
      <w:lvlJc w:val="left"/>
      <w:lvlText w:val="%1)"/>
      <w:numFmt w:val="lowerLetter"/>
      <w:start w:val="2"/>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1"/>
      <w:numFmt w:val="decimal"/>
      <w:start w:val="101"/>
    </w:lvl>
  </w:abstractNum>
  <w:abstractNum w:abstractNumId="45">
    <w:nsid w:val="6DE91B18"/>
    <w:multiLevelType w:val="hybridMultilevel"/>
    <w:lvl w:ilvl="0">
      <w:lvlJc w:val="left"/>
      <w:lvlText w:val="%1"/>
      <w:numFmt w:val="decimal"/>
      <w:start w:val="104"/>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2" Type="http://schemas.openxmlformats.org/officeDocument/2006/relationships/hyperlink" Target="http://www.sec.gov/Archives/edgar/data/1177648/000119312513132679/d511662dex31.htm" TargetMode="External"/><Relationship Id="rId83" Type="http://schemas.openxmlformats.org/officeDocument/2006/relationships/hyperlink" Target="http://www.sec.gov/Archives/edgar/data/1177648/000119312515294582/d95810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2020-05-11T15:35:44Z</dcterms:created>
  <dcterms:modified xsi:type="dcterms:W3CDTF">2020-05-11T15:35:44Z</dcterms:modified>
</cp:coreProperties>
</file>