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enta-20260630.htm"/>
      <w:bookmarkStart w:id="1" w:name="ksenta20260630"/>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4"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4"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001-35839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ENANTA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04-3205099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120" w:after="283"/>
        <w:jc w:val="center"/>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4 Kingsbury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Watertown, Massachusetts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607-0800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268" w:type="dxa"/>
        <w:jc w:val="left"/>
        <w:tblInd w:w="0" w:type="dxa"/>
        <w:tblLayout w:type="fixed"/>
        <w:tblCellMar>
          <w:top w:w="28" w:type="dxa"/>
          <w:left w:w="28" w:type="dxa"/>
          <w:bottom w:w="28" w:type="dxa"/>
          <w:right w:w="28" w:type="dxa"/>
        </w:tblCellMar>
      </w:tblPr>
      <w:tblGrid>
        <w:gridCol w:w="3496"/>
        <w:gridCol w:w="1456"/>
        <w:gridCol w:w="3316"/>
      </w:tblGrid>
      <w:tr>
        <w:trPr/>
        <w:tc>
          <w:tcPr>
            <w:tcW w:w="34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ENTA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931" w:type="dxa"/>
        <w:jc w:val="left"/>
        <w:tblInd w:w="0" w:type="dxa"/>
        <w:tblLayout w:type="fixed"/>
        <w:tblCellMar>
          <w:top w:w="28" w:type="dxa"/>
          <w:left w:w="28" w:type="dxa"/>
          <w:bottom w:w="28" w:type="dxa"/>
          <w:right w:w="28" w:type="dxa"/>
        </w:tblCellMar>
      </w:tblPr>
      <w:tblGrid>
        <w:gridCol w:w="2326"/>
        <w:gridCol w:w="146"/>
        <w:gridCol w:w="376"/>
        <w:gridCol w:w="109"/>
        <w:gridCol w:w="109"/>
        <w:gridCol w:w="1155"/>
        <w:gridCol w:w="1155"/>
        <w:gridCol w:w="109"/>
        <w:gridCol w:w="109"/>
        <w:gridCol w:w="14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7, 2026, the registrant had 29,125,402 shares of common stock, $0.01 par value per share, outstanding. </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UNAUDITED 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stockholders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“on track,” “plan,” “potentially,” “predict,” “project,” “should,” “will” or the negative of these terms or other similar expressions. We caution you that the foregoing list may not encompass all of the forward-looking statements made in this Quarterly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2025 and as updated in Item 1A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I—UNAUDITED FINANCIAL INFORMATION</w:t>
      </w:r>
    </w:p>
    <w:p>
      <w:pPr>
        <w:pStyle w:val="TextBody"/>
        <w:bidi w:val="0"/>
        <w:spacing w:before="12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6006"/>
        <w:gridCol w:w="146"/>
        <w:gridCol w:w="211"/>
        <w:gridCol w:w="841"/>
        <w:gridCol w:w="166"/>
        <w:gridCol w:w="146"/>
        <w:gridCol w:w="228"/>
        <w:gridCol w:w="912"/>
        <w:gridCol w:w="611"/>
      </w:tblGrid>
      <w:tr>
        <w:trPr/>
        <w:tc>
          <w:tcPr>
            <w:tcW w:w="6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$0.01 par value per share, 100,000 shares authorized; </w:t>
              <w:br/>
              <w:t>  29,120 and 21,387 shares issued and outstanding at June 30, 2026</w:t>
              <w:br/>
              <w:t>  and September 30,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4644"/>
        <w:gridCol w:w="146"/>
        <w:gridCol w:w="215"/>
        <w:gridCol w:w="755"/>
        <w:gridCol w:w="169"/>
        <w:gridCol w:w="148"/>
        <w:gridCol w:w="215"/>
        <w:gridCol w:w="755"/>
        <w:gridCol w:w="166"/>
        <w:gridCol w:w="146"/>
        <w:gridCol w:w="211"/>
        <w:gridCol w:w="736"/>
        <w:gridCol w:w="166"/>
        <w:gridCol w:w="146"/>
        <w:gridCol w:w="211"/>
        <w:gridCol w:w="781"/>
        <w:gridCol w:w="595"/>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117,162</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basic and </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21,322</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414" w:type="dxa"/>
        <w:jc w:val="left"/>
        <w:tblInd w:w="0" w:type="dxa"/>
        <w:tblLayout w:type="fixed"/>
        <w:tblCellMar>
          <w:top w:w="28" w:type="dxa"/>
          <w:left w:w="28" w:type="dxa"/>
          <w:bottom w:w="28" w:type="dxa"/>
          <w:right w:w="28" w:type="dxa"/>
        </w:tblCellMar>
      </w:tblPr>
      <w:tblGrid>
        <w:gridCol w:w="3876"/>
        <w:gridCol w:w="146"/>
        <w:gridCol w:w="216"/>
        <w:gridCol w:w="756"/>
        <w:gridCol w:w="170"/>
        <w:gridCol w:w="149"/>
        <w:gridCol w:w="216"/>
        <w:gridCol w:w="756"/>
        <w:gridCol w:w="166"/>
        <w:gridCol w:w="146"/>
        <w:gridCol w:w="211"/>
        <w:gridCol w:w="736"/>
        <w:gridCol w:w="166"/>
        <w:gridCol w:w="146"/>
        <w:gridCol w:w="211"/>
        <w:gridCol w:w="736"/>
        <w:gridCol w:w="611"/>
      </w:tblGrid>
      <w:tr>
        <w:trPr/>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(19,694</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7" w:name="consolidated_stmt_stockholder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412"/>
        <w:gridCol w:w="246"/>
        <w:gridCol w:w="146"/>
        <w:gridCol w:w="676"/>
        <w:gridCol w:w="146"/>
        <w:gridCol w:w="146"/>
        <w:gridCol w:w="230"/>
        <w:gridCol w:w="461"/>
        <w:gridCol w:w="146"/>
        <w:gridCol w:w="146"/>
        <w:gridCol w:w="211"/>
        <w:gridCol w:w="781"/>
        <w:gridCol w:w="166"/>
        <w:gridCol w:w="146"/>
        <w:gridCol w:w="370"/>
        <w:gridCol w:w="846"/>
        <w:gridCol w:w="166"/>
        <w:gridCol w:w="146"/>
        <w:gridCol w:w="211"/>
        <w:gridCol w:w="841"/>
        <w:gridCol w:w="166"/>
        <w:gridCol w:w="146"/>
        <w:gridCol w:w="221"/>
        <w:gridCol w:w="821"/>
        <w:gridCol w:w="212"/>
      </w:tblGrid>
      <w:tr>
        <w:trPr/>
        <w:tc>
          <w:tcPr>
            <w:tcW w:w="24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October 2025 public offering, net of issuance costs of $4,802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March 31,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04"/>
        <w:gridCol w:w="246"/>
        <w:gridCol w:w="146"/>
        <w:gridCol w:w="676"/>
        <w:gridCol w:w="146"/>
        <w:gridCol w:w="146"/>
        <w:gridCol w:w="230"/>
        <w:gridCol w:w="461"/>
        <w:gridCol w:w="146"/>
        <w:gridCol w:w="146"/>
        <w:gridCol w:w="211"/>
        <w:gridCol w:w="781"/>
        <w:gridCol w:w="166"/>
        <w:gridCol w:w="146"/>
        <w:gridCol w:w="370"/>
        <w:gridCol w:w="846"/>
        <w:gridCol w:w="166"/>
        <w:gridCol w:w="146"/>
        <w:gridCol w:w="211"/>
        <w:gridCol w:w="841"/>
        <w:gridCol w:w="166"/>
        <w:gridCol w:w="146"/>
        <w:gridCol w:w="222"/>
        <w:gridCol w:w="827"/>
        <w:gridCol w:w="213"/>
      </w:tblGrid>
      <w:tr>
        <w:trPr/>
        <w:tc>
          <w:tcPr>
            <w:tcW w:w="24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March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June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414" w:type="dxa"/>
        <w:jc w:val="left"/>
        <w:tblInd w:w="0" w:type="dxa"/>
        <w:tblLayout w:type="fixed"/>
        <w:tblCellMar>
          <w:top w:w="28" w:type="dxa"/>
          <w:left w:w="28" w:type="dxa"/>
          <w:bottom w:w="28" w:type="dxa"/>
          <w:right w:w="28" w:type="dxa"/>
        </w:tblCellMar>
      </w:tblPr>
      <w:tblGrid>
        <w:gridCol w:w="6241"/>
        <w:gridCol w:w="146"/>
        <w:gridCol w:w="211"/>
        <w:gridCol w:w="841"/>
        <w:gridCol w:w="166"/>
        <w:gridCol w:w="146"/>
        <w:gridCol w:w="211"/>
        <w:gridCol w:w="841"/>
        <w:gridCol w:w="6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Non-cash interest associated with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Non-cash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Premium paid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Amortization of premiums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(141,008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and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190,497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October 2025 public offering, net of issuance costs of $4,802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royalty sale liability, net of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settlement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fixed assets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received from tenant improvement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received from income tax refund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9" w:name="notes_to_consolidated_financial"/>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sz w:val="20"/>
        </w:rPr>
      </w:pPr>
      <w:r>
        <w:rPr>
          <w:rFonts w:ascii="Times New Roman" w:hAnsi="Times New Roman"/>
          <w:color w:val="000000"/>
          <w:sz w:val="20"/>
        </w:rPr>
        <w:t>Enanta Pharmaceuticals, Inc. (collectively with its subsidiary, the “Company”), incorporated in Delaware in 1995, is a biotechnology company that uses its robust, chemistry-driven approach and drug discovery capabilities to discover and develop small molecule drugs for virology and immunology indications. The Company discovered glecaprevir, the second of two antiviral protease inhibitors developed through its collaboration with AbbVie for the treatment of acute or chronic infection with hepatitis C virus, or HCV. Glecaprevir is co-formulated as part of AbbVie’s leading brand of direct-acting antiviral combination treatment for HCV, which has been marketed under the tradenames MAVYRET</w:t>
      </w:r>
      <w:r>
        <w:rPr>
          <w:rFonts w:ascii="Times New Roman" w:hAnsi="Times New Roman"/>
          <w:color w:val="000000"/>
          <w:sz w:val="13"/>
        </w:rPr>
        <w:t xml:space="preserve">® </w:t>
      </w:r>
      <w:r>
        <w:rPr>
          <w:rFonts w:ascii="Times New Roman" w:hAnsi="Times New Roman"/>
          <w:color w:val="000000"/>
          <w:sz w:val="20"/>
        </w:rPr>
        <w:t>(U.S.) and MAVIRET</w:t>
      </w:r>
      <w:r>
        <w:rPr>
          <w:rFonts w:ascii="Times New Roman" w:hAnsi="Times New Roman"/>
          <w:color w:val="000000"/>
          <w:sz w:val="13"/>
        </w:rPr>
        <w:t>®</w:t>
      </w:r>
      <w:r>
        <w:rPr>
          <w:rFonts w:ascii="Times New Roman" w:hAnsi="Times New Roman"/>
          <w:color w:val="000000"/>
          <w:sz w:val="20"/>
        </w:rPr>
        <w:t xml:space="preserve"> (ex-U.S.) (glecaprevir/pibrentasvir) since 2017 for the treatment of chronic HCV. MAVYRET and MAVIRET were also approved as the first and only treatments for acute HCV infection in the United States and the European Union in June 2025 and June 2026,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September 30, 2025 was derived from audited financial statements but does not include all disclosures required by accounting principles generally accepted in the United States of America (“GAAP”). The accompanying unaudited condensed consolidated financial statements as of June 30, 2026 and for the three and nine months ended June 30, 2026 and 2025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of normal recurring adjustments necessary for a fair statement of the Company’s financial position as of June 30, 2026 and results of operations for the three and nine months ended June 30, 2026 and 2025 and cash flows for the nine months ended June 30, 2026 and 2025 have been made. The results of operations for the three and nine months ended June 30, 2026 are not necessarily indicative of the results of operations that may be expected for subsequent quarters or the year ending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$44,530 for the nine months ended June 30, 2026 and $81,889 for the year ended September 30, 2025. As of June 30, 2026, the Company had an accumulated deficit of $449,459. The Company expects to continue to generate operating losses for the foreseeable future as the Company continues to advance its wholly-owned programs. As of June 30, 2026, the Company had $211,493 in cash, cash equivalents and short-term and long-term marketable securities. The Company expects that its cash, cash equivalents and short-term and long-term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Follow-on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the Company closed an underwritten public offering of its common stock. The Company issued and sold 7,475 shares of its common stock at a public offering price of $10.00 per share. The aggregate gross proceeds of the offering, before deducting underwriting discounts and commissions and other offering expenses, were $74,750.</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Significant Accounting Policies, please refer to its Annual Report on Form 10-K for the fiscal year ended September 30, 2025. Any reference in these notes to applicable guidance is meant to refer to the authoritative GAAP as found in the Accounting Standards Codification and Accounting Standards Update (“ASU”) of the Financial Accounting Standards Board (“FASB”). There have been no material changes to the Company’s significant accounting policies since the beginning of this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pStyle w:val="TextBody"/>
        <w:bidi w:val="0"/>
        <w:spacing w:before="240" w:after="283"/>
        <w:jc w:val="left"/>
        <w:rPr>
          <w:rFonts w:ascii="Times New Roman" w:hAnsi="Times New Roman"/>
          <w:sz w:val="20"/>
        </w:rPr>
      </w:pPr>
      <w:r>
        <w:rPr>
          <w:rFonts w:ascii="Times New Roman" w:hAnsi="Times New Roman"/>
          <w:b/>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pStyle w:val="TextBody"/>
        <w:bidi w:val="0"/>
        <w:jc w:val="left"/>
        <w:rPr/>
      </w:pPr>
      <w:r>
        <w:rPr/>
        <w:t> </w:t>
      </w:r>
    </w:p>
    <w:p>
      <w:pPr>
        <w:pStyle w:val="TextBody"/>
        <w:bidi w:val="0"/>
        <w:jc w:val="left"/>
        <w:rPr/>
      </w:pPr>
      <w:r>
        <w:rPr/>
        <w:t> </w:t>
      </w:r>
    </w:p>
    <w:tbl>
      <w:tblPr>
        <w:tblW w:w="5034"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rTSRUs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w:t>
      </w:r>
      <w:r>
        <w:rPr>
          <w:rFonts w:ascii="Times New Roman" w:hAnsi="Times New Roman"/>
          <w:color w:val="000000"/>
          <w:sz w:val="20"/>
        </w:rPr>
        <w:t>(“ASU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does not expect ASU 2023-09 to have a material impact on the Company’s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w:t>
      </w:r>
      <w:r>
        <w:rPr>
          <w:rFonts w:ascii="Times New Roman" w:hAnsi="Times New Roman"/>
          <w:color w:val="000000"/>
          <w:sz w:val="20"/>
        </w:rPr>
        <w:t xml:space="preserve">(“ASU 2024-03”), which requires public entities to provide disaggregated disclosure of income statement expenses. Public entities are 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that were subject to fair value measurement on a recurring basis as of June 30, 2026 and September 30, 2025, and indicate the fair value hierarchy of the valuation inputs utilized to determine such fair value:</w:t>
      </w:r>
    </w:p>
    <w:tbl>
      <w:tblPr>
        <w:tblW w:w="7995" w:type="dxa"/>
        <w:jc w:val="left"/>
        <w:tblInd w:w="0" w:type="dxa"/>
        <w:tblLayout w:type="fixed"/>
        <w:tblCellMar>
          <w:top w:w="28" w:type="dxa"/>
          <w:left w:w="28" w:type="dxa"/>
          <w:bottom w:w="28" w:type="dxa"/>
          <w:right w:w="28" w:type="dxa"/>
        </w:tblCellMar>
      </w:tblPr>
      <w:tblGrid>
        <w:gridCol w:w="3286"/>
        <w:gridCol w:w="146"/>
        <w:gridCol w:w="211"/>
        <w:gridCol w:w="781"/>
        <w:gridCol w:w="146"/>
        <w:gridCol w:w="146"/>
        <w:gridCol w:w="239"/>
        <w:gridCol w:w="391"/>
        <w:gridCol w:w="146"/>
        <w:gridCol w:w="146"/>
        <w:gridCol w:w="211"/>
        <w:gridCol w:w="571"/>
        <w:gridCol w:w="146"/>
        <w:gridCol w:w="146"/>
        <w:gridCol w:w="211"/>
        <w:gridCol w:w="781"/>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22" w:type="dxa"/>
        <w:jc w:val="left"/>
        <w:tblInd w:w="0" w:type="dxa"/>
        <w:tblLayout w:type="fixed"/>
        <w:tblCellMar>
          <w:top w:w="28" w:type="dxa"/>
          <w:left w:w="28" w:type="dxa"/>
          <w:bottom w:w="28" w:type="dxa"/>
          <w:right w:w="28" w:type="dxa"/>
        </w:tblCellMar>
      </w:tblPr>
      <w:tblGrid>
        <w:gridCol w:w="3286"/>
        <w:gridCol w:w="146"/>
        <w:gridCol w:w="218"/>
        <w:gridCol w:w="809"/>
        <w:gridCol w:w="151"/>
        <w:gridCol w:w="151"/>
        <w:gridCol w:w="238"/>
        <w:gridCol w:w="392"/>
        <w:gridCol w:w="151"/>
        <w:gridCol w:w="151"/>
        <w:gridCol w:w="218"/>
        <w:gridCol w:w="591"/>
        <w:gridCol w:w="151"/>
        <w:gridCol w:w="151"/>
        <w:gridCol w:w="218"/>
        <w:gridCol w:w="809"/>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September 30, 2025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June 30, 2026 and 2025, there were no transfers between Level 1, Level 2 and Level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Level 1 instruments is valued using quoted prices in active markets. The fair value of Level 2 instruments classified as marketable securities is typically determined through third-party pricing services. The pricing services use many observable market inputs to determine value, including reportable trades, benchmark yields, credit spreads, broker/dealer quotes, bids, offers, and current spot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1,930 outstanding shares of Series 1 nonconvertible preferred stock as of June 30, 2026 and September 30, 2025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recurring Level 3 fair value measurements of the Company’s outstanding Series 1 nonconvertible preferred stock using probability-weighted discounted cash flow include the following significant unobservable inputs:</w:t>
      </w:r>
    </w:p>
    <w:p>
      <w:pPr>
        <w:pStyle w:val="TextBody"/>
        <w:bidi w:val="0"/>
        <w:jc w:val="left"/>
        <w:rPr/>
      </w:pPr>
      <w:r>
        <w:rPr/>
        <w:t> </w:t>
      </w:r>
    </w:p>
    <w:tbl>
      <w:tblPr>
        <w:tblW w:w="4416" w:type="dxa"/>
        <w:jc w:val="left"/>
        <w:tblInd w:w="0" w:type="dxa"/>
        <w:tblLayout w:type="fixed"/>
        <w:tblCellMar>
          <w:top w:w="28" w:type="dxa"/>
          <w:left w:w="28" w:type="dxa"/>
          <w:bottom w:w="28" w:type="dxa"/>
          <w:right w:w="28" w:type="dxa"/>
        </w:tblCellMar>
      </w:tblPr>
      <w:tblGrid>
        <w:gridCol w:w="1981"/>
        <w:gridCol w:w="146"/>
        <w:gridCol w:w="811"/>
        <w:gridCol w:w="146"/>
        <w:gridCol w:w="114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Probabilities of payout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fair value of nonconvertible preferred stock during the three and nine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June 30, 2026 and is based on current estimates of future royalties expected to be paid to OMERS over the next 6 years, which are considered Level 3 inputs. See Note 7 for a rollforward of the liability.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September 30, 2025, the fair value of available-for-sale marketable securities, by type of security, was as follows:</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335"/>
        <w:gridCol w:w="551"/>
        <w:gridCol w:w="146"/>
        <w:gridCol w:w="146"/>
        <w:gridCol w:w="270"/>
        <w:gridCol w:w="616"/>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354"/>
        <w:gridCol w:w="532"/>
        <w:gridCol w:w="146"/>
        <w:gridCol w:w="146"/>
        <w:gridCol w:w="387"/>
        <w:gridCol w:w="499"/>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September 30, 2025, marketable securities consisted of investments that mature within one year, with the exception of certain U.S. Treasury notes as of June 30, 2026 which have maturities between one and two years and an aggregate fair value of $21,987.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as of June 30, 2026 and September 30, 2025:</w:t>
      </w:r>
    </w:p>
    <w:tbl>
      <w:tblPr>
        <w:tblW w:w="6392"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71"/>
        <w:gridCol w:w="869"/>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September</w:t>
            </w:r>
            <w:r>
              <w:rPr>
                <w:rFonts w:ascii="Times New Roman" w:hAnsi="Times New Roman"/>
                <w:color w:val="000000"/>
                <w:sz w:val="16"/>
              </w:rPr>
              <w:t xml:space="preserve"> </w:t>
            </w:r>
            <w:r>
              <w:rPr>
                <w:rFonts w:ascii="Times New Roman" w:hAnsi="Times New Roman"/>
                <w:b/>
                <w:color w:val="000000"/>
                <w:sz w:val="16"/>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pharmaceutical drug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AbbVie Collaboration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$1,372,000 through June 30, 2026. Since the Company satisfied all of its performance obligations under the AbbVie Agreement by the end of fiscal 2011, all milestone payments received since then have been recognized as revenue when the milestones were achieved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Liability Related to the Sale of Future Royalties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its condensed consolidated statements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liability related to the sale of future royalties is estimated based on forecasted worldwide MAVYRET/MAVIRET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June 30, 2026, the estimated future cash flows resulted in an effective annual imputed interest rate of approximately 12.8%.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activity of the liability related to the sale of future royalties:</w:t>
      </w:r>
    </w:p>
    <w:tbl>
      <w:tblPr>
        <w:tblW w:w="6828" w:type="dxa"/>
        <w:jc w:val="left"/>
        <w:tblInd w:w="0" w:type="dxa"/>
        <w:tblLayout w:type="fixed"/>
        <w:tblCellMar>
          <w:top w:w="28" w:type="dxa"/>
          <w:left w:w="28" w:type="dxa"/>
          <w:bottom w:w="28" w:type="dxa"/>
          <w:right w:w="28" w:type="dxa"/>
        </w:tblCellMar>
      </w:tblPr>
      <w:tblGrid>
        <w:gridCol w:w="2951"/>
        <w:gridCol w:w="146"/>
        <w:gridCol w:w="727"/>
        <w:gridCol w:w="2693"/>
        <w:gridCol w:w="311"/>
      </w:tblGrid>
      <w:tr>
        <w:trPr/>
        <w:tc>
          <w:tcPr>
            <w:tcW w:w="2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related to the sale of future royalties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payable to purchaser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 on royalty sale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December 2024, March 2025 and March 2026 and its 2024 Inducement Stock Incentive Plan, which was adopted by the Board of Directors in April 2024 for awards to new employees and amended in December 2024. The Company also has outstanding stock option awards under its 2012 Equity Incentive Plan (the “2012 Plan”), but is no longer granting awards under this plan.</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activity, including aggregate intrinsic value, for the year-to-date period ended June 30, 2026:</w:t>
      </w:r>
    </w:p>
    <w:tbl>
      <w:tblPr>
        <w:tblW w:w="8981" w:type="dxa"/>
        <w:jc w:val="left"/>
        <w:tblInd w:w="0" w:type="dxa"/>
        <w:tblLayout w:type="fixed"/>
        <w:tblCellMar>
          <w:top w:w="28" w:type="dxa"/>
          <w:left w:w="28" w:type="dxa"/>
          <w:bottom w:w="28" w:type="dxa"/>
          <w:right w:w="28" w:type="dxa"/>
        </w:tblCellMar>
      </w:tblPr>
      <w:tblGrid>
        <w:gridCol w:w="3511"/>
        <w:gridCol w:w="146"/>
        <w:gridCol w:w="229"/>
        <w:gridCol w:w="896"/>
        <w:gridCol w:w="166"/>
        <w:gridCol w:w="146"/>
        <w:gridCol w:w="214"/>
        <w:gridCol w:w="582"/>
        <w:gridCol w:w="146"/>
        <w:gridCol w:w="146"/>
        <w:gridCol w:w="285"/>
        <w:gridCol w:w="706"/>
        <w:gridCol w:w="146"/>
        <w:gridCol w:w="146"/>
        <w:gridCol w:w="267"/>
        <w:gridCol w:w="858"/>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 xml:space="preserve">Issuable </w:t>
              <w:br/>
              <w:t>Under</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vested and expected to vest as of </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 and Performance-Based Stock Unit Awards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(at target) for the year-to-date period ended June 30, 2026:</w:t>
      </w:r>
    </w:p>
    <w:tbl>
      <w:tblPr>
        <w:tblW w:w="9374" w:type="dxa"/>
        <w:jc w:val="left"/>
        <w:tblInd w:w="0" w:type="dxa"/>
        <w:tblLayout w:type="fixed"/>
        <w:tblCellMar>
          <w:top w:w="28" w:type="dxa"/>
          <w:left w:w="28" w:type="dxa"/>
          <w:bottom w:w="28" w:type="dxa"/>
          <w:right w:w="28" w:type="dxa"/>
        </w:tblCellMar>
      </w:tblPr>
      <w:tblGrid>
        <w:gridCol w:w="2971"/>
        <w:gridCol w:w="146"/>
        <w:gridCol w:w="287"/>
        <w:gridCol w:w="838"/>
        <w:gridCol w:w="166"/>
        <w:gridCol w:w="146"/>
        <w:gridCol w:w="363"/>
        <w:gridCol w:w="987"/>
        <w:gridCol w:w="146"/>
        <w:gridCol w:w="146"/>
        <w:gridCol w:w="287"/>
        <w:gridCol w:w="838"/>
        <w:gridCol w:w="166"/>
        <w:gridCol w:w="146"/>
        <w:gridCol w:w="363"/>
        <w:gridCol w:w="987"/>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rTSRUs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year-to-date period ended June 30, 2026:</w:t>
      </w:r>
    </w:p>
    <w:tbl>
      <w:tblPr>
        <w:tblW w:w="6415" w:type="dxa"/>
        <w:jc w:val="left"/>
        <w:tblInd w:w="0" w:type="dxa"/>
        <w:tblLayout w:type="fixed"/>
        <w:tblCellMar>
          <w:top w:w="28" w:type="dxa"/>
          <w:left w:w="28" w:type="dxa"/>
          <w:bottom w:w="28" w:type="dxa"/>
          <w:right w:w="28" w:type="dxa"/>
        </w:tblCellMar>
      </w:tblPr>
      <w:tblGrid>
        <w:gridCol w:w="2971"/>
        <w:gridCol w:w="146"/>
        <w:gridCol w:w="309"/>
        <w:gridCol w:w="1026"/>
        <w:gridCol w:w="166"/>
        <w:gridCol w:w="146"/>
        <w:gridCol w:w="339"/>
        <w:gridCol w:w="92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Restricted Stock </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Grant </w:t>
              <w:br/>
              <w:t xml:space="preserve">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nine months ended June 30, 2026 and 2025, the Company recognized the following stock-based compensation expense:</w:t>
      </w:r>
    </w:p>
    <w:tbl>
      <w:tblPr>
        <w:tblW w:w="7376"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22"/>
        <w:gridCol w:w="711"/>
        <w:gridCol w:w="153"/>
        <w:gridCol w:w="153"/>
        <w:gridCol w:w="222"/>
        <w:gridCol w:w="7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1" w:type="dxa"/>
        <w:jc w:val="left"/>
        <w:tblInd w:w="0" w:type="dxa"/>
        <w:tblLayout w:type="fixed"/>
        <w:tblCellMar>
          <w:top w:w="28" w:type="dxa"/>
          <w:left w:w="28" w:type="dxa"/>
          <w:bottom w:w="28" w:type="dxa"/>
          <w:right w:w="28" w:type="dxa"/>
        </w:tblCellMar>
      </w:tblPr>
      <w:tblGrid>
        <w:gridCol w:w="2056"/>
        <w:gridCol w:w="146"/>
        <w:gridCol w:w="257"/>
        <w:gridCol w:w="697"/>
        <w:gridCol w:w="178"/>
        <w:gridCol w:w="178"/>
        <w:gridCol w:w="257"/>
        <w:gridCol w:w="697"/>
        <w:gridCol w:w="146"/>
        <w:gridCol w:w="146"/>
        <w:gridCol w:w="222"/>
        <w:gridCol w:w="711"/>
        <w:gridCol w:w="153"/>
        <w:gridCol w:w="153"/>
        <w:gridCol w:w="222"/>
        <w:gridCol w:w="711"/>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rTSRUs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nine months ended June 30, 2026 and 2025, the Company recognized stock-based compensation expense for performance-based stock units for which vesting became probable upon achievement of performance-based targets that occurred during the performance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an aggregate of $21,609 of unrecognized stock-based compensation cost, which is expected to be recognized over a weighted average period of 2.4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and nine months ended June 30, 2026, the Company recorded an income tax expense of $36 and $67, respectively, as compared to an income tax expense of $29 and income tax benefit of $1,692 during the three and nine months ended June 30, 2025. The income tax benefit for the nine months ended June 30, 2025 was primarily due to an additional federal income tax refund from a net operating loss carryback of $871. The federal income tax refund of $33,785, inclusive of interest, was received in April 2025.</w:t>
      </w:r>
    </w:p>
    <w:p>
      <w:pPr>
        <w:pStyle w:val="TextBody"/>
        <w:bidi w:val="0"/>
        <w:jc w:val="left"/>
        <w:rPr>
          <w:rFonts w:ascii="Times New Roman" w:hAnsi="Times New Roman"/>
          <w:color w:val="000000"/>
          <w:sz w:val="20"/>
        </w:rPr>
      </w:pPr>
      <w:r>
        <w:rPr>
          <w:rFonts w:ascii="Times New Roman" w:hAnsi="Times New Roman"/>
          <w:color w:val="000000"/>
          <w:sz w:val="20"/>
        </w:rPr>
        <w:t>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 dates, with certain provisions that became effective in 2025 and others in the future. The Company determined that the legislation does not have a material impact on its condensed consolidated financial statements for the three and nine months ended June 30, 2026.</w:t>
      </w:r>
    </w:p>
    <w:p>
      <w:pPr>
        <w:pStyle w:val="TextBody"/>
        <w:bidi w:val="0"/>
        <w:spacing w:before="160" w:after="12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jc w:val="left"/>
        <w:rPr>
          <w:rFonts w:ascii="Times New Roman" w:hAnsi="Times New Roman"/>
          <w:b/>
          <w:color w:val="000000"/>
          <w:sz w:val="20"/>
        </w:rPr>
      </w:pPr>
      <w:r>
        <w:rPr>
          <w:rFonts w:ascii="Times New Roman" w:hAnsi="Times New Roman"/>
          <w:b/>
          <w:color w:val="000000"/>
          <w:sz w:val="20"/>
        </w:rPr>
        <w:t>Litigation and Contingencies Related to Use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the Company filed suit in the United States District Court for the District of Massachusetts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In December 2024, the District Court issued a summary judgment decision ruling that the asserted claims of the ’953 Patent were invalid. The Company filed a notice of appeal with the United States Court of Appeals for the Federal Circuit, and, in June 2026, the Federal Circuit affirmed the decision of the District Court and ruled that the claims of the ’953 Patent were invalid. On July 23, 2026, the Company filed a combined petition for panel or en banc rehearing of the Federal Circuit’s decision. The timing for a decision on the petition remains uncertain; however, the Company anticipates a decision from the Federal Circuit before the end of September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the Company filed a patent infringement action in the Unified Patent Court (the “UPC”) of the European Union against Pfizer Inc. and certain of its subsidiaries. The suit seeks a determination of liability for infringement of European Patent No. EP 4 051 265 (the “’265 Patent”) in connection with Pfizer’s manufacture, use, and sale of Paxlovid (nirmatrelvir tablets; ritonavir tablets) in the 18 EU member states participating in the UPC. The ’265 Patent is the European counterpart to the ’953 Patent. A hearing on the infringement action and counterclaim for revocation has been scheduled for September 29, 2026 and, under the UPC procedures, a decision is expected to be rendered within weeks thereafter. If the UPC determines there has been infringement, subsequent proceedings would be required to determine damages. In May 2026, Pfizer also filed an opposition against the ’265 Patent with the European Patent Office (the “EPO”). All timelines remain subject to potential rights of appeal and other customary proceedings in European patent litigation and EPO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all legal expenses associated with the patent infringement suits as incurred in the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position, results of operations or cash flows, and has not accrued any liabilities related to such obligations in its condensed consolidated financial statements as of June 30, 2026.</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manages its operations as a single operating segment for the purpose of assessing performance and making operating decisions. The Company’s singular focus is on discovering and developing small molecule drugs with an emphasis on virology and immunology indications. The Company’s Chief Operating Decision Maker (“CODM”) is the Company’s Chief Executive Officer (“CEO”). The CODM reviews consolidated operating results and utilizes net loss from the statement of operations against budget forecasts as the primary measure of segment profit or loss in making decisions surrounding allocating resources and assessing performance of the Company. The CODM is regularly provided detailed expense information, including expenses by expense category and program. The CODM makes decisions surrounding capital and personnel allocation using this information on a consolidated basis. Asset information on a reportable segment basis is not disclosed as this information is not separately identified and internally reported to the Company’s CODM. The CODM is regularly provided information on total cash, which is inclusive of cash, cash equivalents and short-term and long-term marketable securities, as a measure of segment assets. As of June 30, 2026, the Company’s cash, cash equivalents and short-term and long-term marketable securities were $211,493. The following table presents selected financial information with respect to the Company’s single operating segment for the three and nine months ended June 30, 2026 and 2025 (in thousands):</w:t>
      </w:r>
    </w:p>
    <w:tbl>
      <w:tblPr>
        <w:tblW w:w="8799" w:type="dxa"/>
        <w:jc w:val="left"/>
        <w:tblInd w:w="0" w:type="dxa"/>
        <w:tblLayout w:type="fixed"/>
        <w:tblCellMar>
          <w:top w:w="28" w:type="dxa"/>
          <w:left w:w="28" w:type="dxa"/>
          <w:bottom w:w="28" w:type="dxa"/>
          <w:right w:w="28" w:type="dxa"/>
        </w:tblCellMar>
      </w:tblPr>
      <w:tblGrid>
        <w:gridCol w:w="3236"/>
        <w:gridCol w:w="146"/>
        <w:gridCol w:w="216"/>
        <w:gridCol w:w="756"/>
        <w:gridCol w:w="170"/>
        <w:gridCol w:w="149"/>
        <w:gridCol w:w="216"/>
        <w:gridCol w:w="756"/>
        <w:gridCol w:w="166"/>
        <w:gridCol w:w="146"/>
        <w:gridCol w:w="211"/>
        <w:gridCol w:w="736"/>
        <w:gridCol w:w="166"/>
        <w:gridCol w:w="146"/>
        <w:gridCol w:w="211"/>
        <w:gridCol w:w="781"/>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MRGPRX2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immunology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pipeline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sz w:val="20"/>
        </w:rPr>
      </w:pPr>
      <w:r>
        <w:rPr>
          <w:rFonts w:ascii="Times New Roman" w:hAnsi="Times New Roman"/>
          <w:color w:val="000000"/>
          <w:sz w:val="20"/>
        </w:rPr>
        <w:t>On July 2, 2026, the Company entered into an Open Market Sale Agreement</w:t>
      </w:r>
      <w:r>
        <w:rPr>
          <w:rFonts w:ascii="Times New Roman" w:hAnsi="Times New Roman"/>
          <w:color w:val="000000"/>
          <w:sz w:val="13"/>
        </w:rPr>
        <w:t xml:space="preserve">SM </w:t>
      </w:r>
      <w:r>
        <w:rPr>
          <w:rFonts w:ascii="Times New Roman" w:hAnsi="Times New Roman"/>
          <w:color w:val="000000"/>
          <w:sz w:val="20"/>
        </w:rPr>
        <w:t>with Jefferies LLC, as sales agent, under which it may offer and sell shares of its common stock, having an aggregate offering price of up to $75.0 million, from time to time through Jefferies under the at-the-market (ATM) facility. The Company has not issued any shares of common stock under this sale agreement through the filing date of this Form 10-Q.</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0" w:name="item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2025 included in our Annual Report on Form 10-K for that fiscal year, which is referred to as our 2025 Form 10-K. Please refer to our note regarding forward-looking statements on page 2 of this Form 10-Q, which is incorporated herein by this reference.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Enanta name and logo are our trademarks. This Form 10-Q also includes trademarks, trade names and service marks of other persons. All other trademarks, trade names and service marks appearing in this Form 10-Q are the property of their respective owners.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biotechnology company that uses our robust, chemistry-driven approach and drug discovery capabilities to discover and develop small molecule drugs for virology and immunology indications.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Virology:</w:t>
      </w:r>
    </w:p>
    <w:p>
      <w:pPr>
        <w:pStyle w:val="TextBody"/>
        <w:bidi w:val="0"/>
        <w:spacing w:before="120" w:after="283"/>
        <w:jc w:val="left"/>
        <w:rPr>
          <w:rFonts w:ascii="Times New Roman" w:hAnsi="Times New Roman"/>
          <w:sz w:val="20"/>
        </w:rPr>
      </w:pPr>
      <w:r>
        <w:rPr>
          <w:rFonts w:ascii="Times New Roman" w:hAnsi="Times New Roman"/>
          <w:color w:val="000000"/>
          <w:sz w:val="20"/>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combination treatment for HCV, which has been marketed under the tradenames MAVYRET</w:t>
      </w:r>
      <w:r>
        <w:rPr>
          <w:rFonts w:ascii="Times New Roman" w:hAnsi="Times New Roman"/>
          <w:color w:val="000000"/>
          <w:sz w:val="13"/>
        </w:rPr>
        <w:t xml:space="preserve">® </w:t>
      </w:r>
      <w:r>
        <w:rPr>
          <w:rFonts w:ascii="Times New Roman" w:hAnsi="Times New Roman"/>
          <w:color w:val="000000"/>
          <w:sz w:val="20"/>
        </w:rPr>
        <w:t>(U.S.) and MAVIRET</w:t>
      </w:r>
      <w:r>
        <w:rPr>
          <w:rFonts w:ascii="Times New Roman" w:hAnsi="Times New Roman"/>
          <w:color w:val="000000"/>
          <w:sz w:val="13"/>
        </w:rPr>
        <w:t>®</w:t>
      </w:r>
      <w:r>
        <w:rPr>
          <w:rFonts w:ascii="Times New Roman" w:hAnsi="Times New Roman"/>
          <w:color w:val="000000"/>
          <w:sz w:val="20"/>
        </w:rPr>
        <w:t xml:space="preserve"> (ex-U.S.) (glecaprevir/pibrentasvir) since 2017 for the treatment of chronic HCV. MAVYRET and MAVIRET were also approved as the first and only treatments for acute HCV infection in the United States and the European Union in June 2025 and June 2026,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active development programs in virology are focused on respiratory syncytial virus, or RSV, the most common cause of bronchiolitis and pneumonia and a leading cause of U.S. hospitalization in young children, and a significant cause of respiratory illness in older adults. Populations at high risk for severe RSV infection include infants and young children, adults older than 65 years of age, and those with comorbidities such as chronic heart or lung disease. CDC estimates from the United States 2024-2025 RSV season indicate that RSV led to up to 6.8 million outpatient visits, approximately 370,000 hospitalizations, and up to 24,000 deaths. We estimate a global market opportunity of over $2 billion for an oral RSV antiviral for children and all high-risk adults, with a potential total addressable population of greater than 3 million patients in the United States. Additionally, we believe that the recent FDA approval of at-home combination self-tests capable of detecting RSV, influenza A &amp; B, and COVID-19 will further drive RSV diagnosis and potentially enable a test-to-treat model for zelicapavir.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clinical-stage programs in virology for SARS-CoV-2, the virus that causes COVID-19, and Hepatitis B virus, or HBV, the most prevalent chronic hepatitis.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immunology, we are designing and developing highly potent and selective, oral small molecule inhibitors for the treatment of type 2 inflammatory disease by targeting key mechanisms of the immune response. An overactive immune response is a primary driver of a number of inflammatory diseases for which there is an enduring unmet need including atopic dermatitis, or AD, urticaria, asthma, prurigo nodularis, or PN, chronic rhinosinusitis with nasal polyps, or CRSwNP, as well as some forms of chronic obstructive pulmonary disease, or COPD, eosinophilic esophagitis, or EoE, allergic rhinoconjunctivitis, or ARC, and other conditions. Based on industry reports, by 2032 the market is projected to be approximately $40 billion for urticaria and AD, approximately $40 billion for the combined market of asthma, COPD, CRSwNP, EoE, ARC and PN and could include an additional $40 billion or greater taking into account potential expansion into gastrointestinal and neurology indications thought to be associated with mast cells.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initial immunology targets involve the following mechanisms: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KIT, a receptor tyrosine kinase, critical for regulating mast cell survival and activation, including release of potent inflammatory mediators such as histamine, which is a primary driver of inflammation and implicated in multiple allergic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STAT6, a transcription factor uniquely responsible for interleukin-4, or IL-4, and interleukin-13, or IL-13, cell signaling, which drives a type 2 dominant phenotype and downstream inflammation;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MRGPRX2, a non-canonical G-Protein-Coupled-Receptor, or GPCR, expressed predominantly on mast cells, which upon activation triggers degranulation and release of inflammation mediating components, leading to an inflammatory response that is a driver in multiple allergic diseases, and potentially implicated in migraine.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mechanisms are implicated, along with others, in several diseases, and it is not uncommon for an efficacious treatment for one disease to be tested and approved for other immunology indications. In addition, these mechanisms are orthogonal approaches that may provide additive or complementary benefit if used in combination. We currently plan to focus our initial immunology drug development, proof-of-concept efforts on the following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Urticaria, including 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or chronic inducible urticaria (CIndU) of various forms with a variety of known triggers;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$211.5 million in cash, cash equivalents and short-term and long-term marketable securities. Based on our operating plan, we believe that our existing cash, cash equivalents and short-term and long-term marketable securities as of June 30, 2026, as well as the cash flows from our retained portion of future HCV royalties, will enable us to fund our operating expenses and capital expenditure requirements into fiscal 2029.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Wholly-Owned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development programs are wholly-owned, including our RSV and immunology programs. </w:t>
      </w:r>
    </w:p>
    <w:p>
      <w:pPr>
        <w:pStyle w:val="TextBody"/>
        <w:bidi w:val="0"/>
        <w:spacing w:before="120" w:after="283"/>
        <w:jc w:val="left"/>
        <w:rPr>
          <w:rFonts w:ascii="Times New Roman" w:hAnsi="Times New Roman"/>
          <w:sz w:val="20"/>
        </w:rPr>
      </w:pPr>
      <w:r>
        <w:rPr>
          <w:rFonts w:ascii="Times New Roman" w:hAnsi="Times New Roman"/>
          <w:b/>
          <w:color w:val="000000"/>
          <w:sz w:val="20"/>
        </w:rPr>
        <w:t>RSV</w:t>
      </w:r>
      <w:r>
        <w:rPr>
          <w:rFonts w:ascii="Times New Roman" w:hAnsi="Times New Roman"/>
          <w:color w:val="000000"/>
          <w:sz w:val="20"/>
        </w:rPr>
        <w:t>. We have two clinical stage candidates for RSV – zelicapavir (EDP-938) and EDP-323, both of which have Fast Track designation from the U.S. Food and Drug Administration, or FDA. Both candidates inhibit viral replication and the production of new virions for both major subgroups of RSV, and differ from fusion inhibitors, which act only at viral entry. Zelicapavir is an inhibitor of the RSV N-protein, and EDP-323 is an inhibitor of the RSV L-protein.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Zelicapavir - N-protein Inhibitor Candidate:</w:t>
      </w:r>
      <w:r>
        <w:rPr>
          <w:color w:val="000000"/>
        </w:rPr>
        <w:t xml:space="preserve"> </w:t>
      </w:r>
      <w:r>
        <w:rPr>
          <w:rFonts w:ascii="Times New Roman" w:hAnsi="Times New Roman"/>
          <w:color w:val="000000"/>
          <w:sz w:val="20"/>
        </w:rPr>
        <w:t>Zelicapavir, a once-daily, oral, direct-acting antiviral selectively targeting the N-protein, has demonstrated statistically significant reductions in RSV viral load and symptoms in a Phase 2 human challenge model clinical study. We believe that zelicapavir has the greatest potential to show optimal efficacy in high-risk populations since these patients have reduced RSV immunity or other comorbidities, which manifest in a higher and longer duration of viral replication and greater disease severity, allowing a bigger window to realize the full potential of zelicapavir. Our development program is focused on evaluating zelicapavir in high-risk populations, including high-risk adults and pediatric patients, all of which have significant unmet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High-Risk Adults Study of Zelicapavir</w:t>
      </w:r>
      <w:r>
        <w:rPr>
          <w:rFonts w:ascii="Times New Roman" w:hAnsi="Times New Roman"/>
          <w:i/>
          <w:color w:val="000000"/>
          <w:sz w:val="20"/>
        </w:rPr>
        <w:t xml:space="preserve">. </w:t>
      </w:r>
      <w:r>
        <w:rPr>
          <w:rFonts w:ascii="Times New Roman" w:hAnsi="Times New Roman"/>
          <w:color w:val="000000"/>
          <w:sz w:val="20"/>
        </w:rPr>
        <w:t>In September 2025, we announced positive topline results from a Phase 2b randomized, double-blind, placebo-controlled study evaluating zelicapavir in high-risk adults with RSV, including those who are older than 65 years of age and those who have asthma, chronic obstructive pulmonary disease, or congestive heart failure.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pPr>
      <w:r>
        <w:rPr>
          <w:rFonts w:ascii="Times New Roman" w:hAnsi="Times New Roman"/>
          <w:i/>
          <w:color w:val="000000"/>
          <w:sz w:val="20"/>
          <w:u w:val="single"/>
        </w:rPr>
        <w:t>Pediatric Study of Zelicapavir</w:t>
      </w:r>
      <w:r>
        <w:rPr>
          <w:rFonts w:ascii="Times New Roman" w:hAnsi="Times New Roman"/>
          <w:i/>
          <w:color w:val="000000"/>
          <w:sz w:val="20"/>
        </w:rPr>
        <w:t xml:space="preserve">. </w:t>
      </w:r>
      <w:r>
        <w:rPr>
          <w:rFonts w:ascii="Times New Roman" w:hAnsi="Times New Roman"/>
          <w:color w:val="000000"/>
          <w:sz w:val="20"/>
        </w:rPr>
        <w:t xml:space="preserve">In December 2024, we announced positive topline results from the first-in-pediatrics Phase 2 randomized, double-blind, placebo-controlled study evaluating zelicapavir in hospitalized and non-hospitalized children aged 28 days to 36 months with RSV. </w:t>
      </w:r>
    </w:p>
    <w:p>
      <w:pPr>
        <w:pStyle w:val="TextBody"/>
        <w:bidi w:val="0"/>
        <w:jc w:val="left"/>
        <w:rPr>
          <w:rFonts w:ascii="Times New Roman" w:hAnsi="Times New Roman"/>
          <w:color w:val="000000"/>
          <w:sz w:val="20"/>
        </w:rPr>
      </w:pPr>
      <w:r>
        <w:rPr>
          <w:rFonts w:ascii="Times New Roman" w:hAnsi="Times New Roman"/>
          <w:color w:val="000000"/>
          <w:sz w:val="20"/>
        </w:rPr>
        <w:t>In these Phase 2 clinical studies, zelicapavir has demonstrated a favorable safety profile, consistent with that observed in over 700 subjects exposed to zelicapavir to date, as well as antiviral activity and reductions in symptom duration.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pPr>
      <w:r>
        <w:rPr>
          <w:rFonts w:ascii="Times New Roman" w:hAnsi="Times New Roman"/>
          <w:i/>
          <w:color w:val="000000"/>
          <w:sz w:val="20"/>
          <w:u w:val="single"/>
        </w:rPr>
        <w:t>Next Steps.</w:t>
      </w:r>
      <w:r>
        <w:rPr>
          <w:color w:val="000000"/>
        </w:rPr>
        <w:t xml:space="preserve"> </w:t>
      </w:r>
      <w:r>
        <w:rPr>
          <w:rFonts w:ascii="Times New Roman" w:hAnsi="Times New Roman"/>
          <w:color w:val="000000"/>
          <w:sz w:val="20"/>
        </w:rPr>
        <w:t>In June 2026, we announced plans to initiate a registrational Phase 2b/3 clinical trial of zelicapavir in adults at high risk of severe outcomes from RSV infection. We expect to initiate this study named RESOLVE in the fourth quarter of 2026, with data from the Phase 2b portion of the RESOLVE study targeted for 2027. We also announced plans for a Phase 2b clinical trial of zelicapavir in pediatric patients with RSV. We initiated this pediatric study named LOTUS and dosed our first participant in the third quarter of 2026, with topline data expected in 2027. In parallel with these activities, we are exploring potential business development opportunities related to our RSV programs.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u w:val="single"/>
        </w:rPr>
        <w:t>EDP-323 - L-protein Inhibitor Candidate:</w:t>
      </w:r>
      <w:r>
        <w:rPr>
          <w:color w:val="000000"/>
        </w:rPr>
        <w:t xml:space="preserve"> </w:t>
      </w:r>
      <w:r>
        <w:rPr>
          <w:rFonts w:ascii="Times New Roman" w:hAnsi="Times New Roman"/>
          <w:color w:val="000000"/>
          <w:sz w:val="20"/>
        </w:rPr>
        <w:t xml:space="preserve">Our second clinical RSV candidate, EDP-323, is an oral, once-daily, direct-acting antiviral selectively targeting the RSV L-protein, a viral RNA-dependent RNA polymerase enzyme that contains multiple enzymatic activities required for RSV replication. EDP-323 has sub-nanomolar potency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protected mice from RSV infection in a dose-dependent manner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Phase 2a Study of EDP-323</w:t>
      </w:r>
      <w:r>
        <w:rPr>
          <w:rFonts w:ascii="Times New Roman" w:hAnsi="Times New Roman"/>
          <w:color w:val="000000"/>
          <w:sz w:val="20"/>
        </w:rPr>
        <w:t>. In September 2024, we announced positive topline results for EDP-323 in a Phase 2a challenge study of healthy adults infected with RSV, which demonstrated statistically significant reductions in RSV viral load and symptoms. In addition, a post-exposure prophylaxis analysis was performed in subjects who were not infected by Day 5 after RSV exposure. The data showed the potential for EDP-323 to be effective in preventing RSV infection when initiated up to five days after RSV exposure.</w:t>
      </w:r>
    </w:p>
    <w:p>
      <w:pPr>
        <w:pStyle w:val="TextBody"/>
        <w:bidi w:val="0"/>
        <w:spacing w:before="120" w:after="283"/>
        <w:jc w:val="left"/>
        <w:rPr>
          <w:rFonts w:ascii="Times New Roman" w:hAnsi="Times New Roman"/>
          <w:sz w:val="20"/>
        </w:rPr>
      </w:pPr>
      <w:r>
        <w:rPr>
          <w:rFonts w:ascii="Times New Roman" w:hAnsi="Times New Roman"/>
          <w:b/>
          <w:color w:val="000000"/>
          <w:sz w:val="20"/>
        </w:rPr>
        <w:t>Immunology</w:t>
      </w:r>
      <w:r>
        <w:rPr>
          <w:rFonts w:ascii="Times New Roman" w:hAnsi="Times New Roman"/>
          <w:color w:val="000000"/>
          <w:sz w:val="20"/>
        </w:rPr>
        <w:t>. We are leveraging our expertise in developing small molecule inhibitors to design and develop highly potent and selective oral medicines targeting the following mechanisms of immune response: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KIT Inhibitors</w:t>
      </w:r>
      <w:r>
        <w:rPr>
          <w:rFonts w:ascii="Times New Roman" w:hAnsi="Times New Roman"/>
          <w:color w:val="000000"/>
          <w:sz w:val="20"/>
        </w:rPr>
        <w:t xml:space="preserve">. We have a clinical-stage program to develop oral KIT inhibitors for the treatment of CSU and potentially other mast cell-associated indications by depleting mast cells, thereby addressing a primary driver of these diseases. We have selected EDP-978 as our clinical candidate. EDP-978 demonstrates potent nanomolar activity in both binding and cellular function assays, sub-nanomolar activity </w:t>
      </w:r>
      <w:r>
        <w:rPr>
          <w:rFonts w:ascii="Times New Roman" w:hAnsi="Times New Roman"/>
          <w:i/>
          <w:color w:val="000000"/>
          <w:sz w:val="20"/>
        </w:rPr>
        <w:t>in vivo</w:t>
      </w:r>
      <w:r>
        <w:rPr>
          <w:rFonts w:ascii="Times New Roman" w:hAnsi="Times New Roman"/>
          <w:color w:val="000000"/>
          <w:sz w:val="20"/>
        </w:rPr>
        <w:t xml:space="preserve">, and high selectivity for KIT versus other kinases. EDP-978 also demonstrates strong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absorption, distribution, metabolism and excretion, or ADME, properties, supporting once-daily dosing. In April 2026, we dosed our first participant in a randomized, double-blind, placebo-controlled, first-in-human Phase 1 clinical trial. The trial is expected to enroll approximately 98 healthy adult volunteers, ranging in age from 18 to 65 years old, to evaluate the safety, tolerability, pharmacokinetics, and pharmacodynamics, including serum tryptase, of EDP-978. The trial includes a single ascending dose (SAD) phase, with a two-part food-effect cohort, and a multiple ascending dose (MAD) phase with a 14-day treatment period. We expect to report topline data from this trial in the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STAT6 Inhibitors</w:t>
      </w:r>
      <w:r>
        <w:rPr>
          <w:rFonts w:ascii="Times New Roman" w:hAnsi="Times New Roman"/>
          <w:color w:val="000000"/>
          <w:sz w:val="20"/>
        </w:rPr>
        <w:t xml:space="preserve">. We have a preclinical stage program to develop oral inhibitors of the signal transducer and activator of transcription 6 transcription factor, known as STAT6, for the treatment of type 2 immune-driven diseases. STAT6 is responsible for IL-4/IL-13 signaling, the pathway targeted by dupilumab, an IL-4 and IL-13 monoclonal antibody marketed as DUPIXENT®. We are initially focusing on AD for a proof-of-concept clinical study, and subsequently other indications where dupilumab is approved or has shown clinical activity. EPS-3903 is our lead development candidate, which has demonstrated nanomolar potency in both binding and cellular assays and is highly selective for STAT6 versus other STATs. EPS-3903 results in a rapid, continuous and complete (&gt;90%) inhibition of phosphorylated STAT6 after oral dosing in mice. Importantly, EPS-3903 shows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efficacy comparable to dupilumab, or an anti-mouse IL-4/IL-13 antibody, in multiple disease models of asthma (ovalbumin, house dust mite) and AD (MC903). EPS-3903 displays favorable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ADME properties, supportive of once-daily dosing potential. We are currently performing scale-up and Investigational New Drug application, or IND, enabling activities and are on track to file an IND in the second half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MRGPRX2 Inhibitors</w:t>
      </w:r>
      <w:r>
        <w:rPr>
          <w:rFonts w:ascii="Times New Roman" w:hAnsi="Times New Roman"/>
          <w:color w:val="000000"/>
          <w:sz w:val="20"/>
        </w:rPr>
        <w:t xml:space="preserve">. In January 2026, we announced a preclinical program targeting MRGPRX2, a GPCR, expressed predominantly on mast cells, for the treatment of type 2 immune driven diseases. MRGPRX2 inhibitors act through non-depleting mast cell modulation, including IgE-independent pathways, and may have the potential to address multiple chronic inflammatory diseases, including atopic dermatitis, asthma and others, with strong efficacy and a best-in-disease safety profile as well as potential in migraine. Currently, our prototype inhibitors demonstrate MRGPRX2 inhibition with nanomolar potency (EC50 of 1-2nM) in cellular assays and prevent skin mast cell activation in humanized MRGPRX2 mouse models. Further, our prototype inhibitors show potent activity across multiple MRGPRX2 agonists, with high selectivity for MRGPRX2 versus other GPCRs. These prototypes also demonstrate favorable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ADME properties, supportive of once-daily dosing potential. We are continuing to evaluate multiple compounds in preclinical studies and expect to select a development candidate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utilized our internal chemistry and drug discovery capabilities to generate all of our development-stage programs. We continue to invest substantial resources in research programs to discover compounds targeting new disease areas.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product development pipeline in our virology and immunology programs: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6858000" cy="3305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305175"/>
                    </a:xfrm>
                    <a:prstGeom prst="rect">
                      <a:avLst/>
                    </a:prstGeom>
                  </pic:spPr>
                </pic:pic>
              </a:graphicData>
            </a:graphic>
          </wp:inline>
        </w:drawing>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Royalty Revenue Collaboration and Royalty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 </w:t>
      </w:r>
    </w:p>
    <w:p>
      <w:pPr>
        <w:pStyle w:val="TextBody"/>
        <w:bidi w:val="0"/>
        <w:spacing w:before="120" w:after="283"/>
        <w:jc w:val="left"/>
        <w:rPr>
          <w:rFonts w:ascii="Times New Roman" w:hAnsi="Times New Roman"/>
          <w:sz w:val="20"/>
        </w:rPr>
      </w:pPr>
      <w:r>
        <w:rPr>
          <w:rFonts w:ascii="Times New Roman" w:hAnsi="Times New Roman"/>
          <w:color w:val="000000"/>
          <w:sz w:val="20"/>
        </w:rPr>
        <w:t>Glecaprevir is the HCV protease inhibitor we discovered that was developed by AbbVie in a fixed-dose combination with its NS5A inhibitor, pibrentasvir, for the treatment of chronic HCV. This product was also approved by the FDA and European Commission as the first and only treatment for acute HCV infection in June 2025 and June 2026, respectively. This patented combination, currently marketed under the brand names MAVYRET</w:t>
      </w:r>
      <w:r>
        <w:rPr>
          <w:rFonts w:ascii="Times New Roman" w:hAnsi="Times New Roman"/>
          <w:color w:val="000000"/>
          <w:sz w:val="13"/>
        </w:rPr>
        <w:t>®</w:t>
      </w:r>
      <w:r>
        <w:rPr>
          <w:rFonts w:ascii="Times New Roman" w:hAnsi="Times New Roman"/>
          <w:color w:val="000000"/>
          <w:sz w:val="20"/>
        </w:rPr>
        <w:t xml:space="preserve"> (U.S.) and MAVIRET</w:t>
      </w:r>
      <w:r>
        <w:rPr>
          <w:rFonts w:ascii="Times New Roman" w:hAnsi="Times New Roman"/>
          <w:color w:val="000000"/>
          <w:sz w:val="13"/>
        </w:rPr>
        <w:t>®</w:t>
      </w:r>
      <w:r>
        <w:rPr>
          <w:rFonts w:ascii="Times New Roman" w:hAnsi="Times New Roman"/>
          <w:color w:val="000000"/>
          <w:sz w:val="20"/>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glecaprevir/pibrentasvir combination in MAVYRET/MAVIRET. The annual royalty tiers return to the lowest tier for sales on and after each January 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accounting purposes, we continue to record 100% of HCV royalties earned under the AbbVie agreement as royalty revenue in our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funding all research and development for our wholly-owned programs, which are targeted toward the discovery and development of novel compounds. We are advancing zelicapavir into the RESOLVE study, a registrational Phase 2b/3 clinical trial in adults at high risk of severe outcomes from RSV infection. In addition, we are conducting the LOTUS study, a Phase 2b clinical trial of zelicapavir in pediatric patients with RSV, and a Phase 1 clinical trial of EDP-978, our lead immunology program. We are also continuing to conduct preclinical discovery research efforts in immunology.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timing of our clinical and preclinical development programs, we expect our research and development expenses will fluctuate from period to period. In the next 12 months, we expect an increase in our external research and development expenses, primarily driven by the timing of clinical trials in our RSV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royalty payments received under our collaboration agreement with AbbVie, a $200.0 million payment received in April 2023 from our royalty sale agreement and our existing cash, cash equivalents and short-term and long-term marketable securities. Based on our operating plan, we believe that our existing cash, cash equivalents and short-term and long-term marketable securities, as well as the cash flows from our retained portion of future HCV royalties, will enable us to fund our operating expenses and capital expenditure requirements into fiscal 2029.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primarily derived from our collaboration agreement with AbbVie and AbbVie’s sales of MAVYRET/MAVIRET, an 8-week treatment regimen for acute or chronic HCV.</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is a summary of revenue recognized for the three and nine months ended June 30, 2026 and 2025:</w:t>
      </w:r>
    </w:p>
    <w:tbl>
      <w:tblPr>
        <w:tblW w:w="6736" w:type="dxa"/>
        <w:jc w:val="left"/>
        <w:tblInd w:w="0" w:type="dxa"/>
        <w:tblLayout w:type="fixed"/>
        <w:tblCellMar>
          <w:top w:w="28" w:type="dxa"/>
          <w:left w:w="28" w:type="dxa"/>
          <w:bottom w:w="28" w:type="dxa"/>
          <w:right w:w="28" w:type="dxa"/>
        </w:tblCellMar>
      </w:tblPr>
      <w:tblGrid>
        <w:gridCol w:w="1571"/>
        <w:gridCol w:w="146"/>
        <w:gridCol w:w="231"/>
        <w:gridCol w:w="741"/>
        <w:gridCol w:w="160"/>
        <w:gridCol w:w="160"/>
        <w:gridCol w:w="231"/>
        <w:gridCol w:w="741"/>
        <w:gridCol w:w="146"/>
        <w:gridCol w:w="146"/>
        <w:gridCol w:w="222"/>
        <w:gridCol w:w="711"/>
        <w:gridCol w:w="153"/>
        <w:gridCol w:w="153"/>
        <w:gridCol w:w="222"/>
        <w:gridCol w:w="711"/>
        <w:gridCol w:w="291"/>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As disclosed above regarding our OMERS royalty sale agreement, we only retain 45.5% of the cash payments from royalties on net sales of MAVYRET/MAVIRET occurring after June 30, 2023 through June 30, 2032, subject to a cap on aggregate payments to OMERS equal to 1.42 times OMERS’ purchase price.</w:t>
      </w:r>
    </w:p>
    <w:p>
      <w:pPr>
        <w:pStyle w:val="TextBody"/>
        <w:bidi w:val="0"/>
        <w:spacing w:before="120" w:after="12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Internal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our internal product candidates are currently in preclinical or clinical development, we have not generated any revenue from our own product sales. We do not expect to generate any revenue from product sales derived from these product candidates for at least the next several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operating expenses are comprised of research and development expenses and general and administrative expenses.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preclinical study,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related benefits, and stock-based compensation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an increase in our external research and development expenses, primarily driven by the timing of clinical trials in our RSV programs. To date, we have not identified any significant impact of inflation on spending in research and development, but it is uncertain whether there will be inflationary impacts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may increase in the long term. To date we have not experienced a significant impact of inflation on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benefit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tbl>
      <w:tblPr>
        <w:tblW w:w="5621" w:type="dxa"/>
        <w:jc w:val="left"/>
        <w:tblInd w:w="0" w:type="dxa"/>
        <w:tblLayout w:type="fixed"/>
        <w:tblCellMar>
          <w:top w:w="28" w:type="dxa"/>
          <w:left w:w="28" w:type="dxa"/>
          <w:bottom w:w="28" w:type="dxa"/>
          <w:right w:w="28" w:type="dxa"/>
        </w:tblCellMar>
      </w:tblPr>
      <w:tblGrid>
        <w:gridCol w:w="3001"/>
        <w:gridCol w:w="146"/>
        <w:gridCol w:w="216"/>
        <w:gridCol w:w="756"/>
        <w:gridCol w:w="170"/>
        <w:gridCol w:w="149"/>
        <w:gridCol w:w="216"/>
        <w:gridCol w:w="756"/>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We recognized revenue of $14.4 million during the three months ended June 30, 2026 as compared to $18.3 million during the three months ended June 30, 2025. The $4.0 million decrease in revenue was primarily due to AbbVie’s lower reported HCV sales as compared to the same period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revenues eligible to be earned in the future will depend on AbbVie’s HCV market share, the pricing of the MAVYRET/MAVIRET regimen, the number of patients treated and the effect of the label expansion for MAVYRET/MAVIRET for the treatment of patients with acute HCV infection. In addition, at the beginning of each calendar year (the second quarter of our fiscal year), our royalty rate resets to the lowest tier for each of our royalty-bearing products licensed to AbbVie.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with the three months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6697" w:type="dxa"/>
        <w:jc w:val="left"/>
        <w:tblInd w:w="0" w:type="dxa"/>
        <w:tblLayout w:type="fixed"/>
        <w:tblCellMar>
          <w:top w:w="28" w:type="dxa"/>
          <w:left w:w="28" w:type="dxa"/>
          <w:bottom w:w="28" w:type="dxa"/>
          <w:right w:w="28" w:type="dxa"/>
        </w:tblCellMar>
      </w:tblPr>
      <w:tblGrid>
        <w:gridCol w:w="3696"/>
        <w:gridCol w:w="146"/>
        <w:gridCol w:w="231"/>
        <w:gridCol w:w="741"/>
        <w:gridCol w:w="160"/>
        <w:gridCol w:w="160"/>
        <w:gridCol w:w="231"/>
        <w:gridCol w:w="741"/>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R&amp;D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STAT6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MRGPRX2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pipeline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for the three months ended June 30, 2026 decreased by $5.1 million compared to the same period in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Virology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virology programs decreased by $9.5 million due to the timing of clinical trials in our RSV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immunology programs increased by $3.7 million due to scale-up and IND-enabling activities for such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program costs increased by $0.8 million as we advanced early-stage drug discovery efforts.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$0.5 million for the three months ended June 30, 2026 compared to the same period in 2025. The decrease was primarily due to lower stock-based compensation expenses during the three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components of other income (expense) were as follows: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increased by $2.5 million for the three months ended June 30, 2026, as compared to the same period in 2025, due to an increase in forecasted royalties arising from AbbVie’s product sales under the AbbVie Agreement and corresponding royalty payment to OMERS arising from such sales pursuant to our OMERS royalty sales agreement.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and investment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net, decreased by $0.4 million for the three months ended June 30, 2026, as compared to the same period in 2025. The decrease was due to lower interest rates year over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of less than $0.1 million during the three months ended June 30, 2026 and 2025 was primarily due to state income taxes.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 dates, with certain provisions effective in 2025 and others in the future. We determined that the legislation does not have a material impact on our condensed consolidated financial statements for the three and nine months ended June 30, 2026.</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Nine Months Ended June 30, 2026 and 2025</w:t>
      </w:r>
    </w:p>
    <w:tbl>
      <w:tblPr>
        <w:tblW w:w="5564" w:type="dxa"/>
        <w:jc w:val="left"/>
        <w:tblInd w:w="0" w:type="dxa"/>
        <w:tblLayout w:type="fixed"/>
        <w:tblCellMar>
          <w:top w:w="28" w:type="dxa"/>
          <w:left w:w="28" w:type="dxa"/>
          <w:bottom w:w="28" w:type="dxa"/>
          <w:right w:w="28" w:type="dxa"/>
        </w:tblCellMar>
      </w:tblPr>
      <w:tblGrid>
        <w:gridCol w:w="3001"/>
        <w:gridCol w:w="146"/>
        <w:gridCol w:w="211"/>
        <w:gridCol w:w="736"/>
        <w:gridCol w:w="166"/>
        <w:gridCol w:w="146"/>
        <w:gridCol w:w="211"/>
        <w:gridCol w:w="736"/>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We recognized revenue of $50.1 million during the nine months ended June 30, 2026 as compared to $50.2 million during the nine months ended June 30, 2025. The $0.1 million decrease in revenue was primarily due to a slight decrease in AbbVie’s reported HCV sales as compared to the same period in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6605" w:type="dxa"/>
        <w:jc w:val="left"/>
        <w:tblInd w:w="0" w:type="dxa"/>
        <w:tblLayout w:type="fixed"/>
        <w:tblCellMar>
          <w:top w:w="28" w:type="dxa"/>
          <w:left w:w="28" w:type="dxa"/>
          <w:bottom w:w="28" w:type="dxa"/>
          <w:right w:w="28" w:type="dxa"/>
        </w:tblCellMar>
      </w:tblPr>
      <w:tblGrid>
        <w:gridCol w:w="3696"/>
        <w:gridCol w:w="146"/>
        <w:gridCol w:w="222"/>
        <w:gridCol w:w="711"/>
        <w:gridCol w:w="153"/>
        <w:gridCol w:w="153"/>
        <w:gridCol w:w="222"/>
        <w:gridCol w:w="711"/>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R&amp;D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STAT6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MRGPRX2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pipeline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62,428</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for the nine months ended June 30, 2026 decreased by $20.5 million compared to the same period in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Virology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virology program decreased by $35.9 million due to the timing of our clinical trials in our RSV program.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immunology programs increased by $12.2 million due to scale-up and IND-enabling activities for such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program costs increased by $3.2 million as we advanced early-stage drug discovery efforts.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$6.2 million for the nine months ended June 30, 2026 compared to the same period in 2025. The decrease was primarily due to lower stock-based compensation expenses during the nine months ended June 30, 2026 and a decrease in legal expenses related to our patent infringement suit against Pfizer for the ’953 Patent.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components of other income (expense) were as follows: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$5.2 million for the nine months ended June 30, 2026, as compared to the same period in 2025 due to an increase in forecasted royalties arising from AbbVie’s product sales under the AbbVie Agreement and corresponding royalty payment to OMERS arising from such sales pursuant to our OMERS royalty sales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and investment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net, decreased by $1.0 million for the nine months ended June 30, 2026, as compared to the same period in 2025. The decrease was due to lower interest rates year over year.</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 (expense) benefit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of $0.1 million during the nine months ended June 30, 2026 was primarily due to state income taxes. The income tax benefit of $1.7 million during the nine months ended June 30, 2025 was primarily due to an additional federal income tax refund from a net operating loss carryback of $0.9 million. We received the federal income tax refund of $33.8 million, inclusive of interest, in April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our operations with cash flows from our retained portion of our royalty revenue and our existing financial resources. At June 30, 2026, our principal sources of liquidity were cash and cash equivalents and short-term and long-term marketable securities of $211.5 million.</w:t>
      </w:r>
    </w:p>
    <w:p>
      <w:pPr>
        <w:pStyle w:val="TextBody"/>
        <w:bidi w:val="0"/>
        <w:spacing w:before="120" w:after="283"/>
        <w:jc w:val="left"/>
        <w:rPr>
          <w:rFonts w:ascii="Times New Roman" w:hAnsi="Times New Roman"/>
          <w:sz w:val="20"/>
        </w:rPr>
      </w:pPr>
      <w:r>
        <w:rPr>
          <w:rFonts w:ascii="Times New Roman" w:hAnsi="Times New Roman"/>
          <w:color w:val="000000"/>
          <w:sz w:val="20"/>
        </w:rPr>
        <w:t>On July 2, 2026, we entered into an Open Market Sale Agreement</w:t>
      </w:r>
      <w:r>
        <w:rPr>
          <w:rFonts w:ascii="Times New Roman" w:hAnsi="Times New Roman"/>
          <w:color w:val="000000"/>
          <w:sz w:val="13"/>
        </w:rPr>
        <w:t xml:space="preserve">SM </w:t>
      </w:r>
      <w:r>
        <w:rPr>
          <w:rFonts w:ascii="Times New Roman" w:hAnsi="Times New Roman"/>
          <w:color w:val="000000"/>
          <w:sz w:val="20"/>
        </w:rPr>
        <w:t>with Jefferies LLC, as sales agent, under which we may offer and sell shares of our common stock, having an aggregate offering price of up to $75.0 million, from time to time through Jefferies under the at-the-market (ATM) facility. We have not issued any shares of common stock under this sale agreement through the filing date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rPr/>
      </w:pPr>
      <w:r>
        <w:rPr/>
        <w:t> </w:t>
      </w:r>
    </w:p>
    <w:tbl>
      <w:tblPr>
        <w:tblW w:w="7974" w:type="dxa"/>
        <w:jc w:val="left"/>
        <w:tblInd w:w="0" w:type="dxa"/>
        <w:tblLayout w:type="fixed"/>
        <w:tblCellMar>
          <w:top w:w="28" w:type="dxa"/>
          <w:left w:w="28" w:type="dxa"/>
          <w:bottom w:w="28" w:type="dxa"/>
          <w:right w:w="28" w:type="dxa"/>
        </w:tblCellMar>
      </w:tblPr>
      <w:tblGrid>
        <w:gridCol w:w="5011"/>
        <w:gridCol w:w="246"/>
        <w:gridCol w:w="211"/>
        <w:gridCol w:w="736"/>
        <w:gridCol w:w="166"/>
        <w:gridCol w:w="146"/>
        <w:gridCol w:w="211"/>
        <w:gridCol w:w="736"/>
        <w:gridCol w:w="511"/>
      </w:tblGrid>
      <w:tr>
        <w:trPr/>
        <w:tc>
          <w:tcPr>
            <w:tcW w:w="50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$28.8 million for the nine months ended June 30, 2026 as compared to cash used in operating activities of $12.8 million for the same period in 2025. Our cash used in operating activities was lower in 2025 primarily due to receipt of a $33.8 million income tax refund in April 2025, partially offset by lower research and development payments in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provided by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$21.4 million for the nine months ended June 30, 2026 as compared to cash provided by investing activities of $38.1 million for the same period in 2025. Our cash used in investing activities increased by $59.4 million, driven by the timing of purchases and maturities of marketable securities in 2026 compared to 2025.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was $51.3 million for the nine months ended June 30, 2026 as compared to cash used in financing activities of $18.3 million for the same period in 2025. Our cash provided by financing activities increased by $69.6 million, driven primarily by proceeds received from our public offering which closed in October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$211.5 million in cash, cash equivalents and short-term and long-term marketable securities. Based on our operating plan, we believe that our existing cash, cash equivalents and short-term and long-term marketable securities as of June 30, 2026, as well as the cash flows from our retained portion of future HCV royalties, will enable us to fund our operating expenses and capital expenditure requirements into fiscal 2029. However, our projection of the period of time through which our financial resources will be adequate to support our operations is a forward-looking statement that involves risks and uncertainties, and actual results could vary materially.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on our own, including conducting advanced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new collaborations, licensing or other arrangements, if any,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our retained portion of royalties generated from MAVYRET/MAVIRET sales under our existing collaboration with AbbVie;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additional expenses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for clinical development and any products we successfully commercialize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opportunities to in-license or otherwise acquire new technologies and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prosecuting our patent infringement litigation regarding use of a coronavirus 3CL protease inhibitor in Paxlovid, Pfizer's antiviral treatment for COVID-19;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regulatory approvals for any product candidates we develop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commercialization activities, if any, of any product candidates we develop independently that are approved for sale, including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any sales of our product candidates, if any, or royalties thereon;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any litigation costs and the outcomes of any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fluctuations in foreign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engage in any off-balance sheet financing activities. We do not have any interest in entities referred to as variable interest entities, which include special purpose entities and other structured finance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Facility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we lease space in Watertown, Massachusetts, under two separate lease agreements with one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estimated minimum lease payments for the next 5 years and thereafter under our existing facility and leased equipment agreements are $2.1 million for the remainder of 2026, $8.7 million in 2027, $9.0 million in 2028, $9.3 million in 2029, $9.5 million in 2030, and $41.1 million thereafter.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OMERS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$200.0 million received in April 2023 was recognized on our condensed consolidated balance sheets as a liability which will be reduced by the payments made to OMERS over the term of the Agreement. </w:t>
      </w:r>
    </w:p>
    <w:p>
      <w:pPr>
        <w:pStyle w:val="TextBody"/>
        <w:bidi w:val="0"/>
        <w:jc w:val="left"/>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1.9 million outstanding shares of Series 1 nonconvertible preferred stock, all of which we classified as a long-term liability on our consolidated balance sheet and recorded at fair value of $1.3 million. The fair value of the preferred stock was measured based on significant inputs not observable in the market, which represented a Level 3 measurement within the fair value hierarchy. The fair value of these instruments represents less than 10% of liabilities as of June 30, 2026. The Series 1 nonconvertible preferred stock issued would require the payment of $2.0 million in the event of a qualifying merger or sale of the company.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2025 Form 10-K for information about our critical accounting policies as well as a description of our other significant accounting policies. There have been no material changes to our critical accounting policies since the beginning of this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set forth in Note 2 to the condensed consolidated financial statements included in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June 30, 2026, there were no material changes to our market risk disclosures as set forth in Part II, Item 7A “Quantitative and Qualitative Disclosures About Market Risk” in our Annual Report on Form 10-K for the fiscal year ended September 30, 2025. </w:t>
      </w:r>
    </w:p>
    <w:p>
      <w:pPr>
        <w:pStyle w:val="TextBody"/>
        <w:bidi w:val="0"/>
        <w:spacing w:before="360" w:after="283"/>
        <w:jc w:val="left"/>
        <w:rPr>
          <w:rFonts w:ascii="Times New Roman" w:hAnsi="Times New Roman"/>
          <w:b/>
          <w:color w:val="000000"/>
          <w:sz w:val="20"/>
        </w:rPr>
      </w:pPr>
      <w:bookmarkStart w:id="12" w:name="item_4"/>
      <w:bookmarkEnd w:id="12"/>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i/>
          <w:color w:val="000000"/>
          <w:sz w:val="20"/>
        </w:rPr>
        <w:t>Evaluation</w:t>
      </w:r>
      <w:r>
        <w:rPr>
          <w:rFonts w:ascii="Times New Roman" w:hAnsi="Times New Roman"/>
          <w:color w:val="000000"/>
          <w:sz w:val="20"/>
        </w:rPr>
        <w:t xml:space="preserve"> </w:t>
      </w:r>
      <w:r>
        <w:rPr>
          <w:rFonts w:ascii="Times New Roman" w:hAnsi="Times New Roman"/>
          <w:i/>
          <w:color w:val="000000"/>
          <w:sz w:val="20"/>
        </w:rPr>
        <w:t>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bookmarkStart w:id="13" w:name="part_ii"/>
      <w:bookmarkEnd w:id="13"/>
      <w:r>
        <w:rPr>
          <w:rFonts w:ascii="Times New Roman" w:hAnsi="Times New Roman"/>
          <w:b/>
          <w:color w:val="000000"/>
          <w:sz w:val="20"/>
        </w:rPr>
        <w:t>PART II—OTHER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4" w:name="item_1"/>
      <w:bookmarkEnd w:id="14"/>
      <w:r>
        <w:rPr>
          <w:rFonts w:ascii="Times New Roman" w:hAnsi="Times New Roman"/>
          <w:b/>
          <w:color w:val="000000"/>
          <w:sz w:val="20"/>
        </w:rPr>
        <w:t>ITEM 1. LEGAL PROCEEDINGS</w:t>
      </w:r>
    </w:p>
    <w:p>
      <w:pPr>
        <w:pStyle w:val="TextBody"/>
        <w:bidi w:val="0"/>
        <w:jc w:val="left"/>
        <w:rPr>
          <w:rFonts w:ascii="Times New Roman" w:hAnsi="Times New Roman"/>
          <w:color w:val="000000"/>
          <w:sz w:val="20"/>
        </w:rPr>
      </w:pPr>
      <w:r>
        <w:rPr>
          <w:rFonts w:ascii="Times New Roman" w:hAnsi="Times New Roman"/>
          <w:color w:val="000000"/>
          <w:sz w:val="20"/>
        </w:rPr>
        <w:t>Information with respect to legal proceedings is included in Note 10 of the Notes to the Unaudited Condensed Consolidated Financial Statements contained in Part I, Item 1 of this Quarterly Report on Form 10-Q, which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bookmarkStart w:id="15" w:name="item_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such risk factors during the three months ended June 30, 2026. Other events that we do not currently anticipate or that we currently deem immaterial may also affect our business, prospects, financial condition and results of operations. </w:t>
      </w:r>
    </w:p>
    <w:p>
      <w:pPr>
        <w:pStyle w:val="TextBody"/>
        <w:bidi w:val="0"/>
        <w:spacing w:before="360" w:after="283"/>
        <w:jc w:val="left"/>
        <w:rPr>
          <w:rFonts w:ascii="Times New Roman" w:hAnsi="Times New Roman"/>
          <w:sz w:val="20"/>
        </w:rPr>
      </w:pPr>
      <w:bookmarkStart w:id="16" w:name="item5otherinformation"/>
      <w:bookmarkEnd w:id="16"/>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Rule 10b5-1 Trading Arrangements.</w:t>
      </w:r>
      <w:r>
        <w:rPr>
          <w:rFonts w:ascii="Times New Roman" w:hAnsi="Times New Roman"/>
          <w:color w:val="000000"/>
          <w:sz w:val="20"/>
        </w:rPr>
        <w:t xml:space="preserve"> During the three months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7" w:name="item_6"/>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110"/>
        <w:gridCol w:w="146"/>
        <w:gridCol w:w="511"/>
        <w:gridCol w:w="146"/>
        <w:gridCol w:w="669"/>
        <w:gridCol w:w="146"/>
        <w:gridCol w:w="691"/>
        <w:gridCol w:w="146"/>
        <w:gridCol w:w="774"/>
        <w:gridCol w:w="146"/>
        <w:gridCol w:w="829"/>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8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rPr>
                <w:t>Restated Certificate of Incorporation of Enanta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Amended and Restated Bylaws of Enanta Pharmaceuticals, Inc. (as amended and restated in August 2015)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08/18/2015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1_1.htm">
              <w:r>
                <w:rPr>
                  <w:rStyle w:val="InternetLink"/>
                  <w:rFonts w:ascii="Times New Roman" w:hAnsi="Times New Roman"/>
                  <w:color w:val="000000"/>
                  <w:sz w:val="20"/>
                </w:rPr>
                <w:t>Certification of the Principal Executive Officer pursuant to Rule 13a-14(a) or 15d-14(a)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1_2.htm">
              <w:r>
                <w:rPr>
                  <w:rStyle w:val="InternetLink"/>
                  <w:rFonts w:ascii="Times New Roman" w:hAnsi="Times New Roman"/>
                  <w:color w:val="000000"/>
                  <w:sz w:val="20"/>
                </w:rPr>
                <w:t>Certification of the Principal Financial Officer pursuant to Rule 13a-14(a) or 15d-14(a)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2_1.htm">
              <w:r>
                <w:rPr>
                  <w:rStyle w:val="InternetLink"/>
                  <w:rFonts w:ascii="Times New Roman" w:hAnsi="Times New Roman"/>
                  <w:color w:val="000080"/>
                  <w:sz w:val="20"/>
                </w:rPr>
                <w:t xml:space="preserve">Certification of the Principal Executive Officer and </w:t>
              </w:r>
            </w:hyperlink>
            <w:r>
              <w:rPr>
                <w:rFonts w:ascii="Times New Roman" w:hAnsi="Times New Roman"/>
                <w:color w:val="000000"/>
                <w:sz w:val="20"/>
              </w:rPr>
              <w:t>Principal Financial Officer</w:t>
            </w:r>
            <w:hyperlink w:anchor="enta-ex32_1.htm">
              <w:r>
                <w:rPr>
                  <w:rStyle w:val="InternetLink"/>
                  <w:rFonts w:ascii="Times New Roman" w:hAnsi="Times New Roman"/>
                  <w:color w:val="000080"/>
                  <w:sz w:val="20"/>
                </w:rPr>
                <w:t xml:space="preserv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as Inline XBRL with applicable Taxonomy Extension information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428" w:type="dxa"/>
        <w:jc w:val="left"/>
        <w:tblInd w:w="0" w:type="dxa"/>
        <w:tblLayout w:type="fixed"/>
        <w:tblCellMar>
          <w:top w:w="28" w:type="dxa"/>
          <w:left w:w="28" w:type="dxa"/>
          <w:bottom w:w="28" w:type="dxa"/>
          <w:right w:w="28" w:type="dxa"/>
        </w:tblCellMar>
      </w:tblPr>
      <w:tblGrid>
        <w:gridCol w:w="1951"/>
        <w:gridCol w:w="14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ENANTA PHARMACEUTICALS,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12, 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Jay R. Luly, Ph.D.</w:t>
            </w:r>
          </w:p>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4618" w:type="dxa"/>
        <w:jc w:val="left"/>
        <w:tblInd w:w="0" w:type="dxa"/>
        <w:tblLayout w:type="fixed"/>
        <w:tblCellMar>
          <w:top w:w="28" w:type="dxa"/>
          <w:left w:w="28" w:type="dxa"/>
          <w:bottom w:w="28" w:type="dxa"/>
          <w:right w:w="28" w:type="dxa"/>
        </w:tblCellMar>
      </w:tblPr>
      <w:tblGrid>
        <w:gridCol w:w="1951"/>
        <w:gridCol w:w="146"/>
        <w:gridCol w:w="25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 August 12, 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R. Trout III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Harry R. Trout III</w:t>
            </w:r>
          </w:p>
          <w:p>
            <w:pPr>
              <w:pStyle w:val="TableContents"/>
              <w:bidi w:val="0"/>
              <w:jc w:val="left"/>
              <w:rPr>
                <w:rFonts w:ascii="Times New Roman" w:hAnsi="Times New Roman"/>
                <w:i/>
                <w:color w:val="000000"/>
                <w:sz w:val="20"/>
              </w:rPr>
            </w:pPr>
            <w:r>
              <w:rPr>
                <w:rFonts w:ascii="Times New Roman" w:hAnsi="Times New Roman"/>
                <w:i/>
                <w:color w:val="000000"/>
                <w:sz w:val="20"/>
              </w:rPr>
              <w:t>Vice President, Finance</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enta-ex31_1.htm"/>
      <w:bookmarkStart w:id="20" w:name="ksenta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R. Luly,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1951"/>
        <w:gridCol w:w="3241"/>
      </w:tblGrid>
      <w:tr>
        <w:trPr/>
        <w:tc>
          <w:tcPr>
            <w:tcW w:w="195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enta-ex31_2.htm"/>
      <w:bookmarkStart w:id="22" w:name="ksenta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Harry R. Trout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7" w:type="dxa"/>
        <w:jc w:val="left"/>
        <w:tblInd w:w="0" w:type="dxa"/>
        <w:tblLayout w:type="fixed"/>
        <w:tblCellMar>
          <w:top w:w="28" w:type="dxa"/>
          <w:left w:w="28" w:type="dxa"/>
          <w:bottom w:w="28" w:type="dxa"/>
          <w:right w:w="28" w:type="dxa"/>
        </w:tblCellMar>
      </w:tblPr>
      <w:tblGrid>
        <w:gridCol w:w="1951"/>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R. Trout III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Harry R. Trout III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Vice President, Finance</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Financial Office</w:t>
            </w:r>
            <w:r>
              <w:rPr>
                <w:rFonts w:ascii="Times New Roman" w:hAnsi="Times New Roman"/>
                <w:color w:val="000000"/>
                <w:sz w:val="20"/>
              </w:rPr>
              <w:t>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enta-ex32_1.htm"/>
      <w:bookmarkStart w:id="24" w:name="ksentaex32_1"/>
      <w:bookmarkEnd w:id="23"/>
      <w:bookmarkEnd w:id="2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Periodic Financial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2026 (the "Form 10-Q") fully complies with the requirements of Section 13(a) or 15(d) of the Securities Exchange Act of 1934 and that information contained in the Form 10-Q fairly presents, in all material respects, the financial condition and results of operations of Enanta.</w:t>
      </w:r>
    </w:p>
    <w:p>
      <w:pPr>
        <w:pStyle w:val="TextBody"/>
        <w:bidi w:val="0"/>
        <w:jc w:val="left"/>
        <w:rPr/>
      </w:pPr>
      <w:r>
        <w:rPr/>
        <w:t> </w:t>
      </w:r>
    </w:p>
    <w:tbl>
      <w:tblPr>
        <w:tblW w:w="5849" w:type="dxa"/>
        <w:jc w:val="left"/>
        <w:tblInd w:w="0" w:type="dxa"/>
        <w:tblLayout w:type="fixed"/>
        <w:tblCellMar>
          <w:top w:w="28" w:type="dxa"/>
          <w:left w:w="28" w:type="dxa"/>
          <w:bottom w:w="28" w:type="dxa"/>
          <w:right w:w="28" w:type="dxa"/>
        </w:tblCellMar>
      </w:tblPr>
      <w:tblGrid>
        <w:gridCol w:w="2056"/>
        <w:gridCol w:w="406"/>
        <w:gridCol w:w="146"/>
        <w:gridCol w:w="3241"/>
      </w:tblGrid>
      <w:tr>
        <w:trPr/>
        <w:tc>
          <w:tcPr>
            <w:tcW w:w="20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R. Trout III</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Harry R. Trout III</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Vice President, Finance</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7648/000119312513132679/d511662dex31.htm" TargetMode="External"/><Relationship Id="rId4" Type="http://schemas.openxmlformats.org/officeDocument/2006/relationships/hyperlink" Target="https://www.sec.gov/Archives/edgar/data/1177648/000119312515294582/d95810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15391</Words>
  <Characters>84842</Characters>
  <CharactersWithSpaces>101342</CharactersWithSpaces>
  <Paragraphs>5118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