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ind w:left="580" w:right="18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March 31,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9"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2840" w:type="dxa"/>
            <w:vAlign w:val="bottom"/>
          </w:tcPr>
          <w:p>
            <w:pPr>
              <w:jc w:val="center"/>
              <w:ind w:right="862"/>
              <w:spacing w:after="0"/>
              <w:rPr>
                <w:sz w:val="20"/>
                <w:szCs w:val="20"/>
                <w:color w:val="auto"/>
              </w:rPr>
            </w:pPr>
            <w:r>
              <w:rPr>
                <w:rFonts w:ascii="Arial" w:cs="Arial" w:eastAsia="Arial" w:hAnsi="Arial"/>
                <w:sz w:val="18"/>
                <w:szCs w:val="18"/>
                <w:b w:val="1"/>
                <w:bCs w:val="1"/>
                <w:color w:val="auto"/>
                <w:w w:val="98"/>
              </w:rPr>
              <w:t>DELAWARE</w:t>
            </w:r>
          </w:p>
        </w:tc>
        <w:tc>
          <w:tcPr>
            <w:tcW w:w="386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2834</w:t>
            </w:r>
          </w:p>
        </w:tc>
        <w:tc>
          <w:tcPr>
            <w:tcW w:w="2480" w:type="dxa"/>
            <w:vAlign w:val="bottom"/>
          </w:tcPr>
          <w:p>
            <w:pPr>
              <w:jc w:val="center"/>
              <w:ind w:left="982"/>
              <w:spacing w:after="0"/>
              <w:rPr>
                <w:sz w:val="20"/>
                <w:szCs w:val="20"/>
                <w:color w:val="auto"/>
              </w:rPr>
            </w:pPr>
            <w:r>
              <w:rPr>
                <w:rFonts w:ascii="Arial" w:cs="Arial" w:eastAsia="Arial" w:hAnsi="Arial"/>
                <w:sz w:val="18"/>
                <w:szCs w:val="18"/>
                <w:b w:val="1"/>
                <w:bCs w:val="1"/>
                <w:color w:val="auto"/>
                <w:w w:val="89"/>
              </w:rPr>
              <w:t>04-3205099</w:t>
            </w:r>
          </w:p>
        </w:tc>
      </w:tr>
      <w:tr>
        <w:trPr>
          <w:trHeight w:val="149"/>
        </w:trPr>
        <w:tc>
          <w:tcPr>
            <w:tcW w:w="2840" w:type="dxa"/>
            <w:vAlign w:val="bottom"/>
          </w:tcPr>
          <w:p>
            <w:pPr>
              <w:jc w:val="center"/>
              <w:ind w:right="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8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Classification Code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196"/>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0"/>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ENTA</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01"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2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26, 2021, the registrant had 20,195,129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8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880" w:type="dxa"/>
            <w:vAlign w:val="bottom"/>
            <w:gridSpan w:val="18"/>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0" w:type="dxa"/>
            <w:vAlign w:val="bottom"/>
          </w:tcPr>
          <w:p>
            <w:pPr>
              <w:spacing w:after="0"/>
              <w:rPr>
                <w:sz w:val="17"/>
                <w:szCs w:val="17"/>
                <w:color w:val="auto"/>
              </w:rPr>
            </w:pPr>
          </w:p>
        </w:tc>
        <w:tc>
          <w:tcPr>
            <w:tcW w:w="1002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w:t>
              </w:r>
            </w:hyperlink>
          </w:p>
        </w:tc>
        <w:tc>
          <w:tcPr>
            <w:tcW w:w="714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w:t>
              </w:r>
            </w:hyperlink>
          </w:p>
        </w:tc>
        <w:tc>
          <w:tcPr>
            <w:tcW w:w="642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Comprehensive Income (Loss)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Statements of Stockholders’ Equity</w:t>
              </w:r>
            </w:hyperlink>
          </w:p>
        </w:tc>
        <w:tc>
          <w:tcPr>
            <w:tcW w:w="680" w:type="dxa"/>
            <w:vAlign w:val="bottom"/>
            <w:tcBorders>
              <w:top w:val="single" w:sz="8" w:color="0000EE"/>
            </w:tcBorders>
          </w:tcPr>
          <w:p>
            <w:pPr>
              <w:spacing w:after="0"/>
              <w:rPr>
                <w:sz w:val="17"/>
                <w:szCs w:val="17"/>
                <w:color w:val="auto"/>
              </w:rPr>
            </w:pPr>
          </w:p>
        </w:tc>
        <w:tc>
          <w:tcPr>
            <w:tcW w:w="50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w:t>
              </w:r>
            </w:hyperlink>
          </w:p>
        </w:tc>
        <w:tc>
          <w:tcPr>
            <w:tcW w:w="636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Notes to Consolidated Financial Statements</w:t>
              </w:r>
            </w:hyperlink>
          </w:p>
        </w:tc>
        <w:tc>
          <w:tcPr>
            <w:tcW w:w="60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 w:type="dxa"/>
            <w:vAlign w:val="bottom"/>
          </w:tcPr>
          <w:p>
            <w:pPr>
              <w:spacing w:after="0"/>
              <w:rPr>
                <w:sz w:val="17"/>
                <w:szCs w:val="17"/>
                <w:color w:val="auto"/>
              </w:rPr>
            </w:pPr>
          </w:p>
        </w:tc>
        <w:tc>
          <w:tcPr>
            <w:tcW w:w="10020" w:type="dxa"/>
            <w:vAlign w:val="bottom"/>
            <w:gridSpan w:val="1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5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 w:type="dxa"/>
            <w:vAlign w:val="bottom"/>
          </w:tcPr>
          <w:p>
            <w:pPr>
              <w:spacing w:after="0"/>
              <w:rPr>
                <w:sz w:val="17"/>
                <w:szCs w:val="17"/>
                <w:color w:val="auto"/>
              </w:rPr>
            </w:pPr>
          </w:p>
        </w:tc>
        <w:tc>
          <w:tcPr>
            <w:tcW w:w="1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Controls and Procedures</w:t>
              </w:r>
            </w:hyperlink>
          </w:p>
        </w:tc>
        <w:tc>
          <w:tcPr>
            <w:tcW w:w="826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880" w:type="dxa"/>
            <w:vAlign w:val="bottom"/>
            <w:gridSpan w:val="18"/>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II—OTHER INFORMATION</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1A.</w:t>
            </w:r>
          </w:p>
        </w:tc>
        <w:tc>
          <w:tcPr>
            <w:tcW w:w="20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802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914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Signatures</w:t>
              </w:r>
            </w:hyperlink>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Quarterly Report on Form 10-Q, or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Form 10-Q.</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6620" w:type="dxa"/>
            <w:vAlign w:val="bottom"/>
          </w:tcPr>
          <w:p>
            <w:pPr>
              <w:jc w:val="center"/>
              <w:ind w:left="2250"/>
              <w:spacing w:after="0"/>
              <w:rPr>
                <w:sz w:val="20"/>
                <w:szCs w:val="20"/>
                <w:color w:val="auto"/>
              </w:rPr>
            </w:pPr>
            <w:r>
              <w:rPr>
                <w:rFonts w:ascii="Arial" w:cs="Arial" w:eastAsia="Arial" w:hAnsi="Arial"/>
                <w:sz w:val="18"/>
                <w:szCs w:val="18"/>
                <w:b w:val="1"/>
                <w:bCs w:val="1"/>
                <w:color w:val="auto"/>
              </w:rPr>
              <w:t>ENANTA PHARMACEUTICALS, INC.</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662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620" w:type="dxa"/>
            <w:vAlign w:val="bottom"/>
          </w:tcPr>
          <w:p>
            <w:pPr>
              <w:jc w:val="center"/>
              <w:ind w:left="227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620" w:type="dxa"/>
            <w:vAlign w:val="bottom"/>
          </w:tcPr>
          <w:p>
            <w:pPr>
              <w:jc w:val="center"/>
              <w:ind w:left="227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1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140" w:type="dxa"/>
            <w:vAlign w:val="bottom"/>
            <w:tcBorders>
              <w:bottom w:val="single" w:sz="8" w:color="CFF0FC"/>
            </w:tcBorders>
          </w:tcPr>
          <w:p>
            <w:pPr>
              <w:spacing w:after="0"/>
              <w:rPr>
                <w:sz w:val="14"/>
                <w:szCs w:val="14"/>
                <w:color w:val="auto"/>
              </w:rPr>
            </w:pPr>
          </w:p>
        </w:tc>
        <w:tc>
          <w:tcPr>
            <w:tcW w:w="66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77,126</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87,131</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gridSpan w:val="2"/>
          </w:tcPr>
          <w:p>
            <w:pPr>
              <w:ind w:left="140"/>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298,821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299,518</w:t>
            </w: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23,492</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26,696</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436,837</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32,634</w:t>
            </w: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8,596</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7,020</w:t>
            </w:r>
          </w:p>
        </w:tc>
        <w:tc>
          <w:tcPr>
            <w:tcW w:w="10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w w:val="90"/>
              </w:rPr>
              <w:t>Restricted cash</w:t>
            </w:r>
          </w:p>
        </w:tc>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9"/>
                <w:szCs w:val="19"/>
                <w:color w:val="auto"/>
              </w:rPr>
            </w:pPr>
          </w:p>
        </w:tc>
      </w:tr>
      <w:tr>
        <w:trPr>
          <w:trHeight w:val="263"/>
        </w:trPr>
        <w:tc>
          <w:tcPr>
            <w:tcW w:w="114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w w:val="86"/>
              </w:rPr>
              <w:t>Total assets</w:t>
            </w:r>
          </w:p>
        </w:tc>
        <w:tc>
          <w:tcPr>
            <w:tcW w:w="66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467,767</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486,132</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5,737</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14,159</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24,157</w:t>
            </w: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3,838</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31,735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30,552</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 $0.01 par value per share, 100,000 shares authorized; 20,185 and</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20,077 shares issued and outstanding at March 31, 2021 and</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September 30, 2020, respectively</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20"/>
                <w:szCs w:val="20"/>
                <w:color w:val="auto"/>
              </w:rPr>
            </w:pPr>
          </w:p>
        </w:tc>
      </w:tr>
      <w:tr>
        <w:trPr>
          <w:trHeight w:val="230"/>
        </w:trPr>
        <w:tc>
          <w:tcPr>
            <w:tcW w:w="77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338,576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326,963</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97,199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127,572</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436,032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455,580</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467,767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486,132</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20" w:type="dxa"/>
            <w:vAlign w:val="bottom"/>
            <w:gridSpan w:val="6"/>
          </w:tcPr>
          <w:p>
            <w:pPr>
              <w:ind w:left="4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237"/>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51,875</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80,189</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41,506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32,610</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65,388</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13,805</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49,832</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39,494</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79,193</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(11,875)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4,026</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(29,155)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(9,925)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5,022</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120" w:type="dxa"/>
            <w:vAlign w:val="bottom"/>
            <w:shd w:val="clear" w:color="auto" w:fill="CFF0FC"/>
          </w:tcPr>
          <w:p>
            <w:pPr>
              <w:spacing w:after="0"/>
              <w:rPr>
                <w:sz w:val="19"/>
                <w:szCs w:val="19"/>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(22,045)</w:t>
            </w:r>
          </w:p>
        </w:tc>
        <w:tc>
          <w:tcPr>
            <w:tcW w:w="3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3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(30,373)</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120" w:type="dxa"/>
            <w:vAlign w:val="bottom"/>
            <w:tcBorders>
              <w:bottom w:val="single" w:sz="8" w:color="CFF0FC"/>
            </w:tcBorders>
          </w:tcPr>
          <w:p>
            <w:pPr>
              <w:spacing w:after="0"/>
              <w:rPr>
                <w:sz w:val="22"/>
                <w:szCs w:val="22"/>
                <w:color w:val="auto"/>
              </w:rPr>
            </w:pPr>
          </w:p>
        </w:tc>
      </w:tr>
      <w:tr>
        <w:trPr>
          <w:trHeight w:val="210"/>
        </w:trPr>
        <w:tc>
          <w:tcPr>
            <w:tcW w:w="5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(1.51)</w:t>
            </w: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(0.30)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19,922</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19,836</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20,171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19,922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20,692</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7,438</w:t>
            </w:r>
          </w:p>
        </w:tc>
        <w:tc>
          <w:tcPr>
            <w:tcW w:w="120" w:type="dxa"/>
            <w:vAlign w:val="bottom"/>
            <w:shd w:val="clear" w:color="auto" w:fill="CFF0FC"/>
          </w:tcPr>
          <w:p>
            <w:pPr>
              <w:spacing w:after="0"/>
              <w:rPr>
                <w:sz w:val="19"/>
                <w:szCs w:val="19"/>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Net unrealized gains (losses) on marketable securities, net of tax of</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$0, $119, $0 and $147</w:t>
            </w: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(789)</w:t>
            </w:r>
          </w:p>
        </w:tc>
        <w:tc>
          <w:tcPr>
            <w:tcW w:w="5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FF0FC"/>
          </w:tcPr>
          <w:p>
            <w:pPr>
              <w:spacing w:after="0"/>
              <w:rPr>
                <w:sz w:val="20"/>
                <w:szCs w:val="20"/>
                <w:color w:val="auto"/>
              </w:rPr>
            </w:pPr>
          </w:p>
        </w:tc>
      </w:tr>
      <w:tr>
        <w:trPr>
          <w:trHeight w:val="223"/>
        </w:trPr>
        <w:tc>
          <w:tcPr>
            <w:tcW w:w="5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 net of tax</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(31,162)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8"/>
        </w:trPr>
        <w:tc>
          <w:tcPr>
            <w:tcW w:w="4020" w:type="dxa"/>
            <w:vAlign w:val="bottom"/>
          </w:tcPr>
          <w:p>
            <w:pPr>
              <w:spacing w:after="0"/>
              <w:rPr>
                <w:sz w:val="19"/>
                <w:szCs w:val="19"/>
                <w:color w:val="auto"/>
              </w:rPr>
            </w:pPr>
          </w:p>
        </w:tc>
        <w:tc>
          <w:tcPr>
            <w:tcW w:w="196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000" w:type="dxa"/>
            <w:vAlign w:val="bottom"/>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3"/>
                <w:szCs w:val="13"/>
                <w:color w:val="auto"/>
              </w:rPr>
            </w:pP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19,703</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197</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298,409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163,740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462,492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net of</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(1,140)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19,810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304,672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177,183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482,287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net of</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(6,005)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(6,005)</w:t>
            </w: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March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19,986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200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314,005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171,178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485,991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8"/>
        </w:trPr>
        <w:tc>
          <w:tcPr>
            <w:tcW w:w="4020" w:type="dxa"/>
            <w:vAlign w:val="bottom"/>
          </w:tcPr>
          <w:p>
            <w:pPr>
              <w:spacing w:after="0"/>
              <w:rPr>
                <w:sz w:val="19"/>
                <w:szCs w:val="19"/>
                <w:color w:val="auto"/>
              </w:rPr>
            </w:pPr>
          </w:p>
        </w:tc>
        <w:tc>
          <w:tcPr>
            <w:tcW w:w="196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000" w:type="dxa"/>
            <w:vAlign w:val="bottom"/>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24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3"/>
                <w:szCs w:val="13"/>
                <w:color w:val="auto"/>
              </w:rPr>
            </w:pP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20,077</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201</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326,963</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844</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127,572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455,580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net of</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(534)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(439)</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(8,328)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(8,328)</w:t>
            </w: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20,142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201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332,145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119,244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451,995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(350)</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(22,045)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(22,045)</w:t>
            </w: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6"/>
                <w:szCs w:val="16"/>
                <w:b w:val="1"/>
                <w:bCs w:val="1"/>
                <w:color w:val="auto"/>
              </w:rPr>
              <w:t>Balances at March 31,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20,185</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2"/>
              </w:rPr>
              <w:t>202</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338,576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97,199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436,032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260"/>
              <w:spacing w:after="0"/>
              <w:rPr>
                <w:sz w:val="20"/>
                <w:szCs w:val="20"/>
                <w:color w:val="auto"/>
              </w:rPr>
            </w:pPr>
            <w:r>
              <w:rPr>
                <w:rFonts w:ascii="Arial" w:cs="Arial" w:eastAsia="Arial" w:hAnsi="Arial"/>
                <w:sz w:val="17"/>
                <w:szCs w:val="17"/>
                <w:color w:val="auto"/>
              </w:rPr>
              <w:t>Net income (loss)</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(30,373)</w:t>
            </w:r>
          </w:p>
        </w:tc>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income to net cash provided by</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Pr>
          <w:p>
            <w:pPr>
              <w:ind w:left="500"/>
              <w:spacing w:after="0"/>
              <w:rPr>
                <w:sz w:val="20"/>
                <w:szCs w:val="20"/>
                <w:color w:val="auto"/>
              </w:rPr>
            </w:pPr>
            <w:r>
              <w:rPr>
                <w:rFonts w:ascii="Arial" w:cs="Arial" w:eastAsia="Arial" w:hAnsi="Arial"/>
                <w:sz w:val="17"/>
                <w:szCs w:val="17"/>
                <w:color w:val="auto"/>
              </w:rPr>
              <w:t>Stock-based compensation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10,163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Depreciation and amortization expense</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1,705</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500"/>
              <w:spacing w:after="0"/>
              <w:rPr>
                <w:sz w:val="20"/>
                <w:szCs w:val="20"/>
                <w:color w:val="auto"/>
              </w:rPr>
            </w:pPr>
            <w:r>
              <w:rPr>
                <w:rFonts w:ascii="Arial" w:cs="Arial" w:eastAsia="Arial" w:hAnsi="Arial"/>
                <w:sz w:val="17"/>
                <w:szCs w:val="17"/>
                <w:color w:val="auto"/>
              </w:rPr>
              <w:t>Deferred income taxes</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(1,224)</w:t>
            </w:r>
          </w:p>
        </w:tc>
        <w:tc>
          <w:tcPr>
            <w:tcW w:w="0" w:type="dxa"/>
            <w:vAlign w:val="bottom"/>
          </w:tcPr>
          <w:p>
            <w:pPr>
              <w:spacing w:after="0"/>
              <w:rPr>
                <w:sz w:val="1"/>
                <w:szCs w:val="1"/>
                <w:color w:val="auto"/>
              </w:rPr>
            </w:pPr>
          </w:p>
        </w:tc>
      </w:tr>
      <w:tr>
        <w:trPr>
          <w:trHeight w:val="231"/>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Premium paid on marketable securities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(1,238)</w:t>
            </w: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(2,398)</w:t>
            </w:r>
          </w:p>
        </w:tc>
        <w:tc>
          <w:tcPr>
            <w:tcW w:w="0" w:type="dxa"/>
            <w:vAlign w:val="bottom"/>
          </w:tcPr>
          <w:p>
            <w:pPr>
              <w:spacing w:after="0"/>
              <w:rPr>
                <w:sz w:val="1"/>
                <w:szCs w:val="1"/>
                <w:color w:val="auto"/>
              </w:rPr>
            </w:pPr>
          </w:p>
        </w:tc>
      </w:tr>
      <w:tr>
        <w:trPr>
          <w:trHeight w:val="228"/>
        </w:trPr>
        <w:tc>
          <w:tcPr>
            <w:tcW w:w="7720" w:type="dxa"/>
            <w:vAlign w:val="bottom"/>
          </w:tcPr>
          <w:p>
            <w:pPr>
              <w:ind w:left="500"/>
              <w:spacing w:after="0"/>
              <w:rPr>
                <w:sz w:val="20"/>
                <w:szCs w:val="20"/>
                <w:color w:val="auto"/>
              </w:rPr>
            </w:pPr>
            <w:r>
              <w:rPr>
                <w:rFonts w:ascii="Arial" w:cs="Arial" w:eastAsia="Arial" w:hAnsi="Arial"/>
                <w:sz w:val="17"/>
                <w:szCs w:val="17"/>
                <w:color w:val="auto"/>
              </w:rPr>
              <w:t>(Accretion) amortization of (discount) premium on marketable securities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956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Change in operating assets and liabilities: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720" w:type="dxa"/>
            <w:vAlign w:val="bottom"/>
          </w:tcPr>
          <w:p>
            <w:pPr>
              <w:ind w:left="740"/>
              <w:spacing w:after="0"/>
              <w:rPr>
                <w:sz w:val="20"/>
                <w:szCs w:val="20"/>
                <w:color w:val="auto"/>
              </w:rPr>
            </w:pPr>
            <w:r>
              <w:rPr>
                <w:rFonts w:ascii="Arial" w:cs="Arial" w:eastAsia="Arial" w:hAnsi="Arial"/>
                <w:sz w:val="17"/>
                <w:szCs w:val="17"/>
                <w:color w:val="auto"/>
              </w:rPr>
              <w:t>Accounts receivable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3,360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(5,444)</w:t>
            </w: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(4,536)</w:t>
            </w:r>
          </w:p>
        </w:tc>
        <w:tc>
          <w:tcPr>
            <w:tcW w:w="0" w:type="dxa"/>
            <w:vAlign w:val="bottom"/>
          </w:tcPr>
          <w:p>
            <w:pPr>
              <w:spacing w:after="0"/>
              <w:rPr>
                <w:sz w:val="1"/>
                <w:szCs w:val="1"/>
                <w:color w:val="auto"/>
              </w:rPr>
            </w:pPr>
          </w:p>
        </w:tc>
      </w:tr>
      <w:tr>
        <w:trPr>
          <w:trHeight w:val="228"/>
        </w:trPr>
        <w:tc>
          <w:tcPr>
            <w:tcW w:w="7720" w:type="dxa"/>
            <w:vAlign w:val="bottom"/>
          </w:tcPr>
          <w:p>
            <w:pPr>
              <w:ind w:left="740"/>
              <w:spacing w:after="0"/>
              <w:rPr>
                <w:sz w:val="20"/>
                <w:szCs w:val="20"/>
                <w:color w:val="auto"/>
              </w:rPr>
            </w:pPr>
            <w:r>
              <w:rPr>
                <w:rFonts w:ascii="Arial" w:cs="Arial" w:eastAsia="Arial" w:hAnsi="Arial"/>
                <w:sz w:val="17"/>
                <w:szCs w:val="17"/>
                <w:color w:val="auto"/>
              </w:rPr>
              <w:t>Operating lease, right-of-use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2,565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payable</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28"/>
        </w:trPr>
        <w:tc>
          <w:tcPr>
            <w:tcW w:w="7720" w:type="dxa"/>
            <w:vAlign w:val="bottom"/>
          </w:tcPr>
          <w:p>
            <w:pPr>
              <w:ind w:left="740"/>
              <w:spacing w:after="0"/>
              <w:rPr>
                <w:sz w:val="20"/>
                <w:szCs w:val="20"/>
                <w:color w:val="auto"/>
              </w:rPr>
            </w:pPr>
            <w:r>
              <w:rPr>
                <w:rFonts w:ascii="Arial" w:cs="Arial" w:eastAsia="Arial" w:hAnsi="Arial"/>
                <w:sz w:val="17"/>
                <w:szCs w:val="17"/>
                <w:color w:val="auto"/>
              </w:rPr>
              <w:t>Accrued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1,703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(5,585)</w:t>
            </w: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Operating lease liabilities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(2,797)</w:t>
            </w: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(1,484)</w:t>
            </w:r>
          </w:p>
        </w:tc>
        <w:tc>
          <w:tcPr>
            <w:tcW w:w="0" w:type="dxa"/>
            <w:vAlign w:val="bottom"/>
          </w:tcPr>
          <w:p>
            <w:pPr>
              <w:spacing w:after="0"/>
              <w:rPr>
                <w:sz w:val="1"/>
                <w:szCs w:val="1"/>
                <w:color w:val="auto"/>
              </w:rPr>
            </w:pPr>
          </w:p>
        </w:tc>
      </w:tr>
      <w:tr>
        <w:trPr>
          <w:trHeight w:val="228"/>
        </w:trPr>
        <w:tc>
          <w:tcPr>
            <w:tcW w:w="7720" w:type="dxa"/>
            <w:vAlign w:val="bottom"/>
          </w:tcPr>
          <w:p>
            <w:pPr>
              <w:ind w:left="740"/>
              <w:spacing w:after="0"/>
              <w:rPr>
                <w:sz w:val="20"/>
                <w:szCs w:val="20"/>
                <w:color w:val="auto"/>
              </w:rPr>
            </w:pPr>
            <w:r>
              <w:rPr>
                <w:rFonts w:ascii="Arial" w:cs="Arial" w:eastAsia="Arial" w:hAnsi="Arial"/>
                <w:sz w:val="17"/>
                <w:szCs w:val="17"/>
                <w:color w:val="auto"/>
              </w:rPr>
              <w:t>Other long-term liabilities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(84)</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(964)</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(used in) operating activities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(19,469)</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27,037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marketable securities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0"/>
              </w:rPr>
              <w:t>(171,586)</w:t>
            </w: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(171,884)</w:t>
            </w:r>
          </w:p>
        </w:tc>
        <w:tc>
          <w:tcPr>
            <w:tcW w:w="0" w:type="dxa"/>
            <w:vAlign w:val="bottom"/>
          </w:tcPr>
          <w:p>
            <w:pPr>
              <w:spacing w:after="0"/>
              <w:rPr>
                <w:sz w:val="1"/>
                <w:szCs w:val="1"/>
                <w:color w:val="auto"/>
              </w:rPr>
            </w:pPr>
          </w:p>
        </w:tc>
      </w:tr>
      <w:tr>
        <w:trPr>
          <w:trHeight w:val="228"/>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maturities and sale of marketable securities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4"/>
              </w:rPr>
              <w:t>179,917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163,273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property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(318)</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(842)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7"/>
                <w:szCs w:val="17"/>
                <w:color w:val="auto"/>
              </w:rPr>
              <w:t>Net cash provided by (used in) investing activities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8,013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(9,453)</w:t>
            </w:r>
          </w:p>
        </w:tc>
        <w:tc>
          <w:tcPr>
            <w:tcW w:w="0" w:type="dxa"/>
            <w:vAlign w:val="bottom"/>
          </w:tcPr>
          <w:p>
            <w:pPr>
              <w:spacing w:after="0"/>
              <w:rPr>
                <w:sz w:val="1"/>
                <w:szCs w:val="1"/>
                <w:color w:val="auto"/>
              </w:rPr>
            </w:pPr>
          </w:p>
        </w:tc>
      </w:tr>
      <w:tr>
        <w:trPr>
          <w:trHeight w:val="231"/>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exercise of stock options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1,985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Payments for settlement of share-based awards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(534)</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(1,498)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1,451</w:t>
            </w:r>
          </w:p>
        </w:tc>
        <w:tc>
          <w:tcPr>
            <w:tcW w:w="2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increase (decrease) in cash, cash equivalents and restricted cash</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(10,005)</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87,739</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77,734</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74,946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non-cash operating and investing information:</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Purchases of fixed assets included in accounts payable and accrued expenses</w:t>
            </w:r>
          </w:p>
        </w:tc>
        <w:tc>
          <w:tcPr>
            <w:tcW w:w="940" w:type="dxa"/>
            <w:vAlign w:val="bottom"/>
            <w:shd w:val="clear" w:color="auto" w:fill="CFF0FC"/>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2,517</w:t>
            </w:r>
          </w:p>
        </w:tc>
        <w:tc>
          <w:tcPr>
            <w:tcW w:w="280" w:type="dxa"/>
            <w:vAlign w:val="bottom"/>
          </w:tcPr>
          <w:p>
            <w:pPr>
              <w:spacing w:after="0"/>
              <w:rPr>
                <w:sz w:val="18"/>
                <w:szCs w:val="18"/>
                <w:color w:val="auto"/>
              </w:rPr>
            </w:pPr>
          </w:p>
        </w:tc>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Enanta Pharmaceuticals, Inc. (the “Company”), incorporated in Delaware in 1995, is a biotechnology company that uses its robust, chemistry-driven approach and drug discovery capabilities to become a leader in the discovery and development of small molecule drugs for the treatment of viral infections and liver diseases. The Company discovered glecaprevir, the second of two protease inhibitors discovered and developed through its collaboration</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with AbbVie for the treatment of chronic hepatitis C virus, or HCV. Glecaprevir is co-formulated as part of AbbVie’s leading direct-acting antiviral, or DAA, combination treatment for HCV, which is marketed under the tradenames MAVYRET</w:t>
      </w:r>
      <w:r>
        <w:rPr>
          <w:rFonts w:ascii="Arial" w:cs="Arial" w:eastAsia="Arial" w:hAnsi="Arial"/>
          <w:sz w:val="14"/>
          <w:szCs w:val="14"/>
          <w:color w:val="auto"/>
        </w:rPr>
        <w:t>®</w:t>
      </w:r>
      <w:r>
        <w:rPr>
          <w:rFonts w:ascii="Arial" w:cs="Arial" w:eastAsia="Arial" w:hAnsi="Arial"/>
          <w:sz w:val="17"/>
          <w:szCs w:val="17"/>
          <w:color w:val="auto"/>
        </w:rPr>
        <w:t xml:space="preserve"> (U.S.) and MAVIRET</w:t>
      </w:r>
      <w:r>
        <w:rPr>
          <w:rFonts w:ascii="Arial" w:cs="Arial" w:eastAsia="Arial" w:hAnsi="Arial"/>
          <w:sz w:val="14"/>
          <w:szCs w:val="14"/>
          <w:color w:val="auto"/>
        </w:rPr>
        <w:t>®</w:t>
      </w:r>
      <w:r>
        <w:rPr>
          <w:rFonts w:ascii="Arial" w:cs="Arial" w:eastAsia="Arial" w:hAnsi="Arial"/>
          <w:sz w:val="17"/>
          <w:szCs w:val="17"/>
          <w:color w:val="auto"/>
        </w:rPr>
        <w:t xml:space="preserve"> (ex-U.S.)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hepatitis B virus (“HBV”), SARS-CoV-2, human metapneumovirus (“hMPV”) and non-alcoholic steatohepatitis (“NASH”).</w:t>
      </w:r>
    </w:p>
    <w:p>
      <w:pPr>
        <w:spacing w:after="0" w:line="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2020, the World Health Organization declared COVID-19 a global pandemic and countries worldwide implemented various measures to contain the spread of the SARS-CoV-2 virus. National, state and local governments in affected regions have implemented and may continue to implement varying safety precautions, including quarantines, border closures, increased border controls, travel restrictions, shelter-in-place orders and shutdowns, business closures, cancellations of public gatherings and other measures. The extent of the impact on the Company’s business and clinical trials to date has largely been delays in the conduct of out-sourced preclinical testing and ongoing and future clinical trials, as well as reductions in the number of patients accessing AbbVie’s HCV regimens.</w:t>
      </w:r>
    </w:p>
    <w:p>
      <w:pPr>
        <w:spacing w:after="0" w:line="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full extent to which the COVID-19 pandemic will continue to directly or indirectly impact the Company’s business, results of operations and financial condition will depend on future developments that are highly uncertain and cannot be accurately predicted, including new information that may emerge concerning COVID-19 and its variants, public health actions taken to contain the pandemic and mitigate its economic effects and to roll out vaccinations worldwide, as well as the cumulative economic impact of all of these factors</w:t>
      </w:r>
      <w:r>
        <w:rPr>
          <w:rFonts w:ascii="Arial" w:cs="Arial" w:eastAsia="Arial" w:hAnsi="Arial"/>
          <w:sz w:val="18"/>
          <w:szCs w:val="18"/>
          <w:b w:val="1"/>
          <w:bCs w:val="1"/>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consolidated balance sheet at September 30, 2020 was derived from audited financial statements but does not include all disclosures required by accounting principles generally accepted in the United States of America (“GAAP”). The accompanying unaudited consolidated financial statements as of March 31, 2021 and for the three and six months ended March 31, 2021 and 2020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2020.</w:t>
      </w:r>
    </w:p>
    <w:p>
      <w:pPr>
        <w:spacing w:after="0" w:line="87"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In the opinion of management, all adjustments, consisting of normal recurring adjustments necessary for a fair statement of the Company’s financial position as of March 31, 2021 and results of operations for the three and six months ended March 31, 2021 and 2020 and cash flows for the six months ended March 31, 2021 and 2020, have been made. The results of operations for the three and six months ended March 31, 2021 are not necessarily indicative of the results of operations that may be expected for subsequent quarters or the year ending September 30, 2021.</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200"/>
        <w:spacing w:after="0" w:line="308" w:lineRule="auto"/>
        <w:rPr>
          <w:sz w:val="20"/>
          <w:szCs w:val="20"/>
          <w:color w:val="auto"/>
        </w:rPr>
      </w:pPr>
      <w:r>
        <w:rPr>
          <w:rFonts w:ascii="Arial" w:cs="Arial" w:eastAsia="Arial" w:hAnsi="Arial"/>
          <w:sz w:val="17"/>
          <w:szCs w:val="17"/>
          <w:color w:val="auto"/>
        </w:rPr>
        <w:t>The accompanying consolidated financial statements have been prepared in conformity with GAAP. All amounts in the consolidated financial statements and in the notes to the consolidated financial statements, except per share amounts, are in thousands unless otherwise indicated.</w:t>
      </w:r>
    </w:p>
    <w:p>
      <w:pPr>
        <w:spacing w:after="0" w:line="25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2020. Any reference in these notes to applicable guidance is meant to refer to the authoritative GAAP as found in the Accounting Standards Codification (“ASC”) and Accounting Standards Update (“ASU”) of the Financial Accounting Standards Board (“FASB”).</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Series 1 nonconvertible preferred stock and stock-based awards; the accrual of research and development expenses, and the accounting for income taxes, including uncertain tax positions and the valuation of net deferred tax assets. Estimates are periodically reviewed in light of changes in circumstances and other facts. The future developments of the COVID-19 pandemic which may directly or indirectly impact the Company’s business include quarantines, border closures, increased border controls, travel restrictions, shelter-in-place orders and shutdowns, business closures, cancellations of public gatherings and other measures. The Company has made estimates of the impact of COVID-19 in the Company’s consolidated financial statements as of March 31, 2021. Actual results could differ from the Company’s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The Company adopted ASU 2016-13 as of October 1, 2020. For available-for-sale debt securities with unrealized losses, the Company measures credit losses in a manner similar to previous U.S. GAAP, except that losses will be recognized as allowances instead of reductions in the amortized cost of the debt securities. The adoption of ASU 2016-13 did not have a material impact on the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This standard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amendment is effective for the Company in the fiscal year beginning October 1, 2021; however, early adoption is permitted. The Company is currently in the process of evaluating the impact that ASU 2019-12 may have on its consolidated financial statements.</w:t>
      </w:r>
    </w:p>
    <w:p>
      <w:pPr>
        <w:spacing w:after="0" w:line="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320"/>
        <w:spacing w:after="0" w:line="329"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March 31, 2021 and September 30, 2020, and indicate the fair value hierarchy of the valuation inputs utilized to determine such fair value:</w:t>
      </w:r>
    </w:p>
    <w:tbl>
      <w:tblPr>
        <w:tblLayout w:type="fixed"/>
        <w:tblInd w:w="52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3"/>
          </w:tcPr>
          <w:p>
            <w:pPr>
              <w:jc w:val="center"/>
              <w:spacing w:after="0"/>
              <w:rPr>
                <w:sz w:val="20"/>
                <w:szCs w:val="20"/>
                <w:color w:val="auto"/>
              </w:rPr>
            </w:pPr>
            <w:r>
              <w:rPr>
                <w:rFonts w:ascii="Arial" w:cs="Arial" w:eastAsia="Arial" w:hAnsi="Arial"/>
                <w:sz w:val="14"/>
                <w:szCs w:val="14"/>
                <w:b w:val="1"/>
                <w:bCs w:val="1"/>
                <w:color w:val="auto"/>
                <w:w w:val="94"/>
              </w:rPr>
              <w:t>Fair Value Measurements at March 31, 2021 Using:</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5"/>
          </w:tcPr>
          <w:p>
            <w:pPr>
              <w:jc w:val="center"/>
              <w:ind w:left="53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36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76,137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76,137</w:t>
            </w:r>
          </w:p>
        </w:tc>
        <w:tc>
          <w:tcPr>
            <w:tcW w:w="10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U.S. Treasury notes</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51,556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51,556</w:t>
            </w:r>
          </w:p>
        </w:tc>
        <w:tc>
          <w:tcPr>
            <w:tcW w:w="10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153,459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153,459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118,299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118,299</w:t>
            </w:r>
          </w:p>
        </w:tc>
        <w:tc>
          <w:tcPr>
            <w:tcW w:w="10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127,693</w:t>
            </w: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271,758</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gridSpan w:val="3"/>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399,451</w:t>
            </w:r>
          </w:p>
        </w:tc>
        <w:tc>
          <w:tcPr>
            <w:tcW w:w="100" w:type="dxa"/>
            <w:vAlign w:val="bottom"/>
            <w:tcBorders>
              <w:bottom w:val="single" w:sz="8" w:color="CFF0FC"/>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36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3"/>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3"/>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17"/>
          </w:tcPr>
          <w:p>
            <w:pPr>
              <w:jc w:val="center"/>
              <w:ind w:left="653"/>
              <w:spacing w:after="0"/>
              <w:rPr>
                <w:sz w:val="20"/>
                <w:szCs w:val="20"/>
                <w:color w:val="auto"/>
              </w:rPr>
            </w:pPr>
            <w:r>
              <w:rPr>
                <w:rFonts w:ascii="Arial" w:cs="Arial" w:eastAsia="Arial" w:hAnsi="Arial"/>
                <w:sz w:val="14"/>
                <w:szCs w:val="14"/>
                <w:b w:val="1"/>
                <w:bCs w:val="1"/>
                <w:color w:val="auto"/>
                <w:w w:val="92"/>
              </w:rPr>
              <w:t>Fair Value Measurements at September 30, 2020 Using:</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 w:type="dxa"/>
            <w:vAlign w:val="bottom"/>
            <w:tcBorders>
              <w:right w:val="single" w:sz="8" w:color="CFF2FC"/>
            </w:tcBorders>
          </w:tcPr>
          <w:p>
            <w:pPr>
              <w:spacing w:after="0"/>
              <w:rPr>
                <w:sz w:val="13"/>
                <w:szCs w:val="13"/>
                <w:color w:val="auto"/>
              </w:rPr>
            </w:pPr>
          </w:p>
        </w:tc>
        <w:tc>
          <w:tcPr>
            <w:tcW w:w="4240" w:type="dxa"/>
            <w:vAlign w:val="bottom"/>
            <w:tcBorders>
              <w:top w:val="single" w:sz="8" w:color="CFF2FC"/>
            </w:tcBorders>
            <w:shd w:val="clear" w:color="auto" w:fill="CFF2FC"/>
          </w:tcPr>
          <w:p>
            <w:pPr>
              <w:spacing w:after="0"/>
              <w:rPr>
                <w:sz w:val="13"/>
                <w:szCs w:val="13"/>
                <w:color w:val="auto"/>
              </w:rPr>
            </w:pPr>
          </w:p>
        </w:tc>
        <w:tc>
          <w:tcPr>
            <w:tcW w:w="120" w:type="dxa"/>
            <w:vAlign w:val="bottom"/>
            <w:tcBorders>
              <w:top w:val="single" w:sz="8" w:color="CFF2FC"/>
            </w:tcBorders>
            <w:shd w:val="clear" w:color="auto" w:fill="CFF2FC"/>
          </w:tcPr>
          <w:p>
            <w:pPr>
              <w:spacing w:after="0"/>
              <w:rPr>
                <w:sz w:val="13"/>
                <w:szCs w:val="13"/>
                <w:color w:val="auto"/>
              </w:rPr>
            </w:pPr>
          </w:p>
        </w:tc>
        <w:tc>
          <w:tcPr>
            <w:tcW w:w="20" w:type="dxa"/>
            <w:vAlign w:val="bottom"/>
            <w:tcBorders>
              <w:top w:val="single" w:sz="8" w:color="auto"/>
            </w:tcBorders>
            <w:shd w:val="clear" w:color="auto" w:fill="CFF2FC"/>
          </w:tcPr>
          <w:p>
            <w:pPr>
              <w:spacing w:after="0"/>
              <w:rPr>
                <w:sz w:val="13"/>
                <w:szCs w:val="13"/>
                <w:color w:val="auto"/>
              </w:rPr>
            </w:pPr>
          </w:p>
        </w:tc>
        <w:tc>
          <w:tcPr>
            <w:tcW w:w="220" w:type="dxa"/>
            <w:vAlign w:val="bottom"/>
            <w:tcBorders>
              <w:top w:val="single" w:sz="8" w:color="auto"/>
            </w:tcBorders>
            <w:shd w:val="clear" w:color="auto" w:fill="CFF2FC"/>
          </w:tcPr>
          <w:p>
            <w:pPr>
              <w:spacing w:after="0"/>
              <w:rPr>
                <w:sz w:val="13"/>
                <w:szCs w:val="13"/>
                <w:color w:val="auto"/>
              </w:rPr>
            </w:pPr>
          </w:p>
        </w:tc>
        <w:tc>
          <w:tcPr>
            <w:tcW w:w="1000" w:type="dxa"/>
            <w:vAlign w:val="bottom"/>
            <w:tcBorders>
              <w:top w:val="single" w:sz="8" w:color="auto"/>
            </w:tcBorders>
            <w:shd w:val="clear" w:color="auto" w:fill="CFF2FC"/>
          </w:tcPr>
          <w:p>
            <w:pPr>
              <w:spacing w:after="0"/>
              <w:rPr>
                <w:sz w:val="13"/>
                <w:szCs w:val="13"/>
                <w:color w:val="auto"/>
              </w:rPr>
            </w:pPr>
          </w:p>
        </w:tc>
        <w:tc>
          <w:tcPr>
            <w:tcW w:w="20" w:type="dxa"/>
            <w:vAlign w:val="bottom"/>
            <w:tcBorders>
              <w:top w:val="single" w:sz="8" w:color="auto"/>
            </w:tcBorders>
            <w:shd w:val="clear" w:color="auto" w:fill="CFF2FC"/>
          </w:tcPr>
          <w:p>
            <w:pPr>
              <w:spacing w:after="0"/>
              <w:rPr>
                <w:sz w:val="13"/>
                <w:szCs w:val="13"/>
                <w:color w:val="auto"/>
              </w:rPr>
            </w:pPr>
          </w:p>
        </w:tc>
        <w:tc>
          <w:tcPr>
            <w:tcW w:w="200" w:type="dxa"/>
            <w:vAlign w:val="bottom"/>
            <w:tcBorders>
              <w:top w:val="single" w:sz="8" w:color="auto"/>
            </w:tcBorders>
            <w:shd w:val="clear" w:color="auto" w:fill="CFF2FC"/>
          </w:tcPr>
          <w:p>
            <w:pPr>
              <w:spacing w:after="0"/>
              <w:rPr>
                <w:sz w:val="13"/>
                <w:szCs w:val="13"/>
                <w:color w:val="auto"/>
              </w:rPr>
            </w:pPr>
          </w:p>
        </w:tc>
        <w:tc>
          <w:tcPr>
            <w:tcW w:w="40" w:type="dxa"/>
            <w:vAlign w:val="bottom"/>
            <w:tcBorders>
              <w:top w:val="single" w:sz="8" w:color="auto"/>
            </w:tcBorders>
            <w:shd w:val="clear" w:color="auto" w:fill="CFF2FC"/>
          </w:tcPr>
          <w:p>
            <w:pPr>
              <w:spacing w:after="0"/>
              <w:rPr>
                <w:sz w:val="13"/>
                <w:szCs w:val="13"/>
                <w:color w:val="auto"/>
              </w:rPr>
            </w:pPr>
          </w:p>
        </w:tc>
        <w:tc>
          <w:tcPr>
            <w:tcW w:w="220" w:type="dxa"/>
            <w:vAlign w:val="bottom"/>
            <w:tcBorders>
              <w:top w:val="single" w:sz="8" w:color="auto"/>
            </w:tcBorders>
            <w:shd w:val="clear" w:color="auto" w:fill="CFF2FC"/>
          </w:tcPr>
          <w:p>
            <w:pPr>
              <w:spacing w:after="0"/>
              <w:rPr>
                <w:sz w:val="13"/>
                <w:szCs w:val="13"/>
                <w:color w:val="auto"/>
              </w:rPr>
            </w:pPr>
          </w:p>
        </w:tc>
        <w:tc>
          <w:tcPr>
            <w:tcW w:w="1580" w:type="dxa"/>
            <w:vAlign w:val="bottom"/>
            <w:tcBorders>
              <w:top w:val="single" w:sz="8" w:color="auto"/>
            </w:tcBorders>
            <w:gridSpan w:val="5"/>
            <w:shd w:val="clear" w:color="auto" w:fill="CFF2FC"/>
          </w:tcPr>
          <w:p>
            <w:pPr>
              <w:jc w:val="center"/>
              <w:ind w:left="57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Borders>
              <w:top w:val="single" w:sz="8" w:color="auto"/>
            </w:tcBorders>
            <w:shd w:val="clear" w:color="auto" w:fill="CFF2FC"/>
          </w:tcPr>
          <w:p>
            <w:pPr>
              <w:spacing w:after="0"/>
              <w:rPr>
                <w:sz w:val="13"/>
                <w:szCs w:val="13"/>
                <w:color w:val="auto"/>
              </w:rPr>
            </w:pPr>
          </w:p>
        </w:tc>
        <w:tc>
          <w:tcPr>
            <w:tcW w:w="80" w:type="dxa"/>
            <w:vAlign w:val="bottom"/>
            <w:tcBorders>
              <w:top w:val="single" w:sz="8" w:color="auto"/>
            </w:tcBorders>
            <w:shd w:val="clear" w:color="auto" w:fill="CFF2FC"/>
          </w:tcPr>
          <w:p>
            <w:pPr>
              <w:spacing w:after="0"/>
              <w:rPr>
                <w:sz w:val="13"/>
                <w:szCs w:val="13"/>
                <w:color w:val="auto"/>
              </w:rPr>
            </w:pPr>
          </w:p>
        </w:tc>
        <w:tc>
          <w:tcPr>
            <w:tcW w:w="80" w:type="dxa"/>
            <w:vAlign w:val="bottom"/>
            <w:tcBorders>
              <w:top w:val="single" w:sz="8" w:color="auto"/>
            </w:tcBorders>
            <w:shd w:val="clear" w:color="auto" w:fill="CFF2FC"/>
          </w:tcPr>
          <w:p>
            <w:pPr>
              <w:spacing w:after="0"/>
              <w:rPr>
                <w:sz w:val="13"/>
                <w:szCs w:val="13"/>
                <w:color w:val="auto"/>
              </w:rPr>
            </w:pPr>
          </w:p>
        </w:tc>
        <w:tc>
          <w:tcPr>
            <w:tcW w:w="80" w:type="dxa"/>
            <w:vAlign w:val="bottom"/>
            <w:tcBorders>
              <w:top w:val="single" w:sz="8" w:color="auto"/>
            </w:tcBorders>
            <w:shd w:val="clear" w:color="auto" w:fill="CFF2FC"/>
          </w:tcPr>
          <w:p>
            <w:pPr>
              <w:spacing w:after="0"/>
              <w:rPr>
                <w:sz w:val="13"/>
                <w:szCs w:val="13"/>
                <w:color w:val="auto"/>
              </w:rPr>
            </w:pPr>
          </w:p>
        </w:tc>
        <w:tc>
          <w:tcPr>
            <w:tcW w:w="40" w:type="dxa"/>
            <w:vAlign w:val="bottom"/>
            <w:tcBorders>
              <w:top w:val="single" w:sz="8" w:color="auto"/>
            </w:tcBorders>
            <w:shd w:val="clear" w:color="auto" w:fill="CFF2FC"/>
          </w:tcPr>
          <w:p>
            <w:pPr>
              <w:spacing w:after="0"/>
              <w:rPr>
                <w:sz w:val="13"/>
                <w:szCs w:val="13"/>
                <w:color w:val="auto"/>
              </w:rPr>
            </w:pPr>
          </w:p>
        </w:tc>
        <w:tc>
          <w:tcPr>
            <w:tcW w:w="20" w:type="dxa"/>
            <w:vAlign w:val="bottom"/>
            <w:tcBorders>
              <w:top w:val="single" w:sz="8" w:color="auto"/>
            </w:tcBorders>
            <w:shd w:val="clear" w:color="auto" w:fill="CFF2FC"/>
          </w:tcPr>
          <w:p>
            <w:pPr>
              <w:spacing w:after="0"/>
              <w:rPr>
                <w:sz w:val="13"/>
                <w:szCs w:val="13"/>
                <w:color w:val="auto"/>
              </w:rPr>
            </w:pPr>
          </w:p>
        </w:tc>
        <w:tc>
          <w:tcPr>
            <w:tcW w:w="240" w:type="dxa"/>
            <w:vAlign w:val="bottom"/>
            <w:tcBorders>
              <w:top w:val="single" w:sz="8" w:color="auto"/>
            </w:tcBorders>
            <w:shd w:val="clear" w:color="auto" w:fill="CFF2FC"/>
          </w:tcPr>
          <w:p>
            <w:pPr>
              <w:spacing w:after="0"/>
              <w:rPr>
                <w:sz w:val="13"/>
                <w:szCs w:val="13"/>
                <w:color w:val="auto"/>
              </w:rPr>
            </w:pPr>
          </w:p>
        </w:tc>
        <w:tc>
          <w:tcPr>
            <w:tcW w:w="940" w:type="dxa"/>
            <w:vAlign w:val="bottom"/>
            <w:tcBorders>
              <w:top w:val="single" w:sz="8" w:color="auto"/>
            </w:tcBorders>
            <w:shd w:val="clear" w:color="auto" w:fill="CFF2FC"/>
          </w:tcPr>
          <w:p>
            <w:pPr>
              <w:spacing w:after="0"/>
              <w:rPr>
                <w:sz w:val="13"/>
                <w:szCs w:val="13"/>
                <w:color w:val="auto"/>
              </w:rPr>
            </w:pPr>
          </w:p>
        </w:tc>
        <w:tc>
          <w:tcPr>
            <w:tcW w:w="100" w:type="dxa"/>
            <w:vAlign w:val="bottom"/>
            <w:tcBorders>
              <w:top w:val="single" w:sz="8" w:color="auto"/>
              <w:right w:val="single" w:sz="8" w:color="CFF2FC"/>
            </w:tcBorders>
            <w:shd w:val="clear" w:color="auto" w:fill="CFF2FC"/>
          </w:tcPr>
          <w:p>
            <w:pPr>
              <w:spacing w:after="0"/>
              <w:rPr>
                <w:sz w:val="13"/>
                <w:szCs w:val="13"/>
                <w:color w:val="auto"/>
              </w:rPr>
            </w:pPr>
          </w:p>
        </w:tc>
        <w:tc>
          <w:tcPr>
            <w:tcW w:w="40" w:type="dxa"/>
            <w:vAlign w:val="bottom"/>
            <w:tcBorders>
              <w:top w:val="single" w:sz="8" w:color="CFF2FC"/>
            </w:tcBorders>
            <w:shd w:val="clear" w:color="auto" w:fill="CFF2FC"/>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CFF2FC"/>
            </w:tcBorders>
          </w:tcPr>
          <w:p>
            <w:pPr>
              <w:spacing w:after="0"/>
              <w:rPr>
                <w:sz w:val="21"/>
                <w:szCs w:val="21"/>
                <w:color w:val="auto"/>
              </w:rPr>
            </w:pPr>
          </w:p>
        </w:tc>
        <w:tc>
          <w:tcPr>
            <w:tcW w:w="4240" w:type="dxa"/>
            <w:vAlign w:val="bottom"/>
            <w:shd w:val="clear" w:color="auto" w:fill="CFF2FC"/>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FF2FC"/>
          </w:tcPr>
          <w:p>
            <w:pPr>
              <w:spacing w:after="0"/>
              <w:rPr>
                <w:sz w:val="21"/>
                <w:szCs w:val="21"/>
                <w:color w:val="auto"/>
              </w:rPr>
            </w:pPr>
          </w:p>
        </w:tc>
        <w:tc>
          <w:tcPr>
            <w:tcW w:w="20" w:type="dxa"/>
            <w:vAlign w:val="bottom"/>
            <w:shd w:val="clear" w:color="auto" w:fill="CFF2FC"/>
          </w:tcPr>
          <w:p>
            <w:pPr>
              <w:spacing w:after="0"/>
              <w:rPr>
                <w:sz w:val="21"/>
                <w:szCs w:val="21"/>
                <w:color w:val="auto"/>
              </w:rPr>
            </w:pPr>
          </w:p>
        </w:tc>
        <w:tc>
          <w:tcPr>
            <w:tcW w:w="220" w:type="dxa"/>
            <w:vAlign w:val="bottom"/>
            <w:shd w:val="clear" w:color="auto" w:fill="CFF2FC"/>
          </w:tcPr>
          <w:p>
            <w:pPr>
              <w:spacing w:after="0"/>
              <w:rPr>
                <w:sz w:val="21"/>
                <w:szCs w:val="21"/>
                <w:color w:val="auto"/>
              </w:rPr>
            </w:pPr>
          </w:p>
        </w:tc>
        <w:tc>
          <w:tcPr>
            <w:tcW w:w="1000" w:type="dxa"/>
            <w:vAlign w:val="bottom"/>
            <w:shd w:val="clear" w:color="auto" w:fill="CFF2FC"/>
          </w:tcPr>
          <w:p>
            <w:pPr>
              <w:spacing w:after="0"/>
              <w:rPr>
                <w:sz w:val="21"/>
                <w:szCs w:val="21"/>
                <w:color w:val="auto"/>
              </w:rPr>
            </w:pPr>
          </w:p>
        </w:tc>
        <w:tc>
          <w:tcPr>
            <w:tcW w:w="20" w:type="dxa"/>
            <w:vAlign w:val="bottom"/>
            <w:shd w:val="clear" w:color="auto" w:fill="CFF2FC"/>
          </w:tcPr>
          <w:p>
            <w:pPr>
              <w:spacing w:after="0"/>
              <w:rPr>
                <w:sz w:val="21"/>
                <w:szCs w:val="21"/>
                <w:color w:val="auto"/>
              </w:rPr>
            </w:pPr>
          </w:p>
        </w:tc>
        <w:tc>
          <w:tcPr>
            <w:tcW w:w="200" w:type="dxa"/>
            <w:vAlign w:val="bottom"/>
            <w:shd w:val="clear" w:color="auto" w:fill="CFF2FC"/>
          </w:tcPr>
          <w:p>
            <w:pPr>
              <w:spacing w:after="0"/>
              <w:rPr>
                <w:sz w:val="21"/>
                <w:szCs w:val="21"/>
                <w:color w:val="auto"/>
              </w:rPr>
            </w:pPr>
          </w:p>
        </w:tc>
        <w:tc>
          <w:tcPr>
            <w:tcW w:w="40" w:type="dxa"/>
            <w:vAlign w:val="bottom"/>
            <w:shd w:val="clear" w:color="auto" w:fill="CFF2FC"/>
          </w:tcPr>
          <w:p>
            <w:pPr>
              <w:spacing w:after="0"/>
              <w:rPr>
                <w:sz w:val="21"/>
                <w:szCs w:val="21"/>
                <w:color w:val="auto"/>
              </w:rPr>
            </w:pPr>
          </w:p>
        </w:tc>
        <w:tc>
          <w:tcPr>
            <w:tcW w:w="220" w:type="dxa"/>
            <w:vAlign w:val="bottom"/>
            <w:shd w:val="clear" w:color="auto" w:fill="CFF2FC"/>
          </w:tcPr>
          <w:p>
            <w:pPr>
              <w:spacing w:after="0"/>
              <w:rPr>
                <w:sz w:val="21"/>
                <w:szCs w:val="21"/>
                <w:color w:val="auto"/>
              </w:rPr>
            </w:pPr>
          </w:p>
        </w:tc>
        <w:tc>
          <w:tcPr>
            <w:tcW w:w="980" w:type="dxa"/>
            <w:vAlign w:val="bottom"/>
            <w:shd w:val="clear" w:color="auto" w:fill="CFF2FC"/>
          </w:tcPr>
          <w:p>
            <w:pPr>
              <w:spacing w:after="0"/>
              <w:rPr>
                <w:sz w:val="21"/>
                <w:szCs w:val="21"/>
                <w:color w:val="auto"/>
              </w:rPr>
            </w:pPr>
          </w:p>
        </w:tc>
        <w:tc>
          <w:tcPr>
            <w:tcW w:w="80" w:type="dxa"/>
            <w:vAlign w:val="bottom"/>
            <w:shd w:val="clear" w:color="auto" w:fill="CFF2FC"/>
          </w:tcPr>
          <w:p>
            <w:pPr>
              <w:spacing w:after="0"/>
              <w:rPr>
                <w:sz w:val="21"/>
                <w:szCs w:val="21"/>
                <w:color w:val="auto"/>
              </w:rPr>
            </w:pPr>
          </w:p>
        </w:tc>
        <w:tc>
          <w:tcPr>
            <w:tcW w:w="140" w:type="dxa"/>
            <w:vAlign w:val="bottom"/>
            <w:shd w:val="clear" w:color="auto" w:fill="CFF2FC"/>
          </w:tcPr>
          <w:p>
            <w:pPr>
              <w:spacing w:after="0"/>
              <w:rPr>
                <w:sz w:val="21"/>
                <w:szCs w:val="21"/>
                <w:color w:val="auto"/>
              </w:rPr>
            </w:pPr>
          </w:p>
        </w:tc>
        <w:tc>
          <w:tcPr>
            <w:tcW w:w="80" w:type="dxa"/>
            <w:vAlign w:val="bottom"/>
            <w:shd w:val="clear" w:color="auto" w:fill="CFF2FC"/>
          </w:tcPr>
          <w:p>
            <w:pPr>
              <w:spacing w:after="0"/>
              <w:rPr>
                <w:sz w:val="21"/>
                <w:szCs w:val="21"/>
                <w:color w:val="auto"/>
              </w:rPr>
            </w:pPr>
          </w:p>
        </w:tc>
        <w:tc>
          <w:tcPr>
            <w:tcW w:w="300" w:type="dxa"/>
            <w:vAlign w:val="bottom"/>
            <w:shd w:val="clear" w:color="auto" w:fill="CFF2FC"/>
          </w:tcPr>
          <w:p>
            <w:pPr>
              <w:spacing w:after="0"/>
              <w:rPr>
                <w:sz w:val="21"/>
                <w:szCs w:val="21"/>
                <w:color w:val="auto"/>
              </w:rPr>
            </w:pPr>
          </w:p>
        </w:tc>
        <w:tc>
          <w:tcPr>
            <w:tcW w:w="860" w:type="dxa"/>
            <w:vAlign w:val="bottom"/>
            <w:shd w:val="clear" w:color="auto" w:fill="CFF2FC"/>
          </w:tcPr>
          <w:p>
            <w:pPr>
              <w:spacing w:after="0"/>
              <w:rPr>
                <w:sz w:val="21"/>
                <w:szCs w:val="21"/>
                <w:color w:val="auto"/>
              </w:rPr>
            </w:pPr>
          </w:p>
        </w:tc>
        <w:tc>
          <w:tcPr>
            <w:tcW w:w="80" w:type="dxa"/>
            <w:vAlign w:val="bottom"/>
            <w:shd w:val="clear" w:color="auto" w:fill="CFF2FC"/>
          </w:tcPr>
          <w:p>
            <w:pPr>
              <w:spacing w:after="0"/>
              <w:rPr>
                <w:sz w:val="21"/>
                <w:szCs w:val="21"/>
                <w:color w:val="auto"/>
              </w:rPr>
            </w:pPr>
          </w:p>
        </w:tc>
        <w:tc>
          <w:tcPr>
            <w:tcW w:w="80" w:type="dxa"/>
            <w:vAlign w:val="bottom"/>
            <w:shd w:val="clear" w:color="auto" w:fill="CFF2FC"/>
          </w:tcPr>
          <w:p>
            <w:pPr>
              <w:spacing w:after="0"/>
              <w:rPr>
                <w:sz w:val="21"/>
                <w:szCs w:val="21"/>
                <w:color w:val="auto"/>
              </w:rPr>
            </w:pPr>
          </w:p>
        </w:tc>
        <w:tc>
          <w:tcPr>
            <w:tcW w:w="80" w:type="dxa"/>
            <w:vAlign w:val="bottom"/>
            <w:shd w:val="clear" w:color="auto" w:fill="CFF2FC"/>
          </w:tcPr>
          <w:p>
            <w:pPr>
              <w:spacing w:after="0"/>
              <w:rPr>
                <w:sz w:val="21"/>
                <w:szCs w:val="21"/>
                <w:color w:val="auto"/>
              </w:rPr>
            </w:pPr>
          </w:p>
        </w:tc>
        <w:tc>
          <w:tcPr>
            <w:tcW w:w="40" w:type="dxa"/>
            <w:vAlign w:val="bottom"/>
            <w:shd w:val="clear" w:color="auto" w:fill="CFF2FC"/>
          </w:tcPr>
          <w:p>
            <w:pPr>
              <w:spacing w:after="0"/>
              <w:rPr>
                <w:sz w:val="21"/>
                <w:szCs w:val="21"/>
                <w:color w:val="auto"/>
              </w:rPr>
            </w:pPr>
          </w:p>
        </w:tc>
        <w:tc>
          <w:tcPr>
            <w:tcW w:w="20" w:type="dxa"/>
            <w:vAlign w:val="bottom"/>
            <w:shd w:val="clear" w:color="auto" w:fill="CFF2FC"/>
          </w:tcPr>
          <w:p>
            <w:pPr>
              <w:spacing w:after="0"/>
              <w:rPr>
                <w:sz w:val="21"/>
                <w:szCs w:val="21"/>
                <w:color w:val="auto"/>
              </w:rPr>
            </w:pPr>
          </w:p>
        </w:tc>
        <w:tc>
          <w:tcPr>
            <w:tcW w:w="240" w:type="dxa"/>
            <w:vAlign w:val="bottom"/>
            <w:shd w:val="clear" w:color="auto" w:fill="CFF2FC"/>
          </w:tcPr>
          <w:p>
            <w:pPr>
              <w:spacing w:after="0"/>
              <w:rPr>
                <w:sz w:val="21"/>
                <w:szCs w:val="21"/>
                <w:color w:val="auto"/>
              </w:rPr>
            </w:pPr>
          </w:p>
        </w:tc>
        <w:tc>
          <w:tcPr>
            <w:tcW w:w="940" w:type="dxa"/>
            <w:vAlign w:val="bottom"/>
            <w:shd w:val="clear" w:color="auto" w:fill="CFF2FC"/>
          </w:tcPr>
          <w:p>
            <w:pPr>
              <w:spacing w:after="0"/>
              <w:rPr>
                <w:sz w:val="21"/>
                <w:szCs w:val="21"/>
                <w:color w:val="auto"/>
              </w:rPr>
            </w:pPr>
          </w:p>
        </w:tc>
        <w:tc>
          <w:tcPr>
            <w:tcW w:w="100" w:type="dxa"/>
            <w:vAlign w:val="bottom"/>
            <w:tcBorders>
              <w:right w:val="single" w:sz="8" w:color="CFF2FC"/>
            </w:tcBorders>
            <w:shd w:val="clear" w:color="auto" w:fill="CFF2FC"/>
          </w:tcPr>
          <w:p>
            <w:pPr>
              <w:spacing w:after="0"/>
              <w:rPr>
                <w:sz w:val="21"/>
                <w:szCs w:val="21"/>
                <w:color w:val="auto"/>
              </w:rPr>
            </w:pPr>
          </w:p>
        </w:tc>
        <w:tc>
          <w:tcPr>
            <w:tcW w:w="40" w:type="dxa"/>
            <w:vAlign w:val="bottom"/>
            <w:shd w:val="clear" w:color="auto" w:fill="CFF2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Money market funds</w:t>
            </w:r>
          </w:p>
        </w:tc>
        <w:tc>
          <w:tcPr>
            <w:tcW w:w="36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81,502</w:t>
            </w:r>
          </w:p>
        </w:tc>
        <w:tc>
          <w:tcPr>
            <w:tcW w:w="200" w:type="dxa"/>
            <w:vAlign w:val="bottom"/>
          </w:tcPr>
          <w:p>
            <w:pPr>
              <w:spacing w:after="0"/>
              <w:rPr>
                <w:sz w:val="19"/>
                <w:szCs w:val="19"/>
                <w:color w:val="auto"/>
              </w:rPr>
            </w:pP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81,502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FF2FC"/>
            </w:tcBorders>
          </w:tcPr>
          <w:p>
            <w:pPr>
              <w:spacing w:after="0"/>
              <w:rPr>
                <w:sz w:val="19"/>
                <w:szCs w:val="19"/>
                <w:color w:val="auto"/>
              </w:rPr>
            </w:pPr>
          </w:p>
        </w:tc>
        <w:tc>
          <w:tcPr>
            <w:tcW w:w="4240" w:type="dxa"/>
            <w:vAlign w:val="bottom"/>
            <w:shd w:val="clear" w:color="auto" w:fill="CFF2FC"/>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0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00" w:type="dxa"/>
            <w:vAlign w:val="bottom"/>
            <w:shd w:val="clear" w:color="auto" w:fill="CFF2FC"/>
          </w:tcPr>
          <w:p>
            <w:pPr>
              <w:spacing w:after="0"/>
              <w:rPr>
                <w:sz w:val="19"/>
                <w:szCs w:val="19"/>
                <w:color w:val="auto"/>
              </w:rPr>
            </w:pPr>
          </w:p>
        </w:tc>
        <w:tc>
          <w:tcPr>
            <w:tcW w:w="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980" w:type="dxa"/>
            <w:vAlign w:val="bottom"/>
            <w:shd w:val="clear" w:color="auto" w:fill="CFF2FC"/>
          </w:tcPr>
          <w:p>
            <w:pPr>
              <w:spacing w:after="0"/>
              <w:rPr>
                <w:sz w:val="19"/>
                <w:szCs w:val="19"/>
                <w:color w:val="auto"/>
              </w:rPr>
            </w:pPr>
          </w:p>
        </w:tc>
        <w:tc>
          <w:tcPr>
            <w:tcW w:w="80" w:type="dxa"/>
            <w:vAlign w:val="bottom"/>
            <w:shd w:val="clear" w:color="auto" w:fill="CFF2FC"/>
          </w:tcPr>
          <w:p>
            <w:pPr>
              <w:spacing w:after="0"/>
              <w:rPr>
                <w:sz w:val="19"/>
                <w:szCs w:val="19"/>
                <w:color w:val="auto"/>
              </w:rPr>
            </w:pPr>
          </w:p>
        </w:tc>
        <w:tc>
          <w:tcPr>
            <w:tcW w:w="140" w:type="dxa"/>
            <w:vAlign w:val="bottom"/>
            <w:shd w:val="clear" w:color="auto" w:fill="CFF2FC"/>
          </w:tcPr>
          <w:p>
            <w:pPr>
              <w:spacing w:after="0"/>
              <w:rPr>
                <w:sz w:val="19"/>
                <w:szCs w:val="19"/>
                <w:color w:val="auto"/>
              </w:rPr>
            </w:pPr>
          </w:p>
        </w:tc>
        <w:tc>
          <w:tcPr>
            <w:tcW w:w="80" w:type="dxa"/>
            <w:vAlign w:val="bottom"/>
            <w:shd w:val="clear" w:color="auto" w:fill="CFF2FC"/>
          </w:tcPr>
          <w:p>
            <w:pPr>
              <w:spacing w:after="0"/>
              <w:rPr>
                <w:sz w:val="19"/>
                <w:szCs w:val="19"/>
                <w:color w:val="auto"/>
              </w:rPr>
            </w:pPr>
          </w:p>
        </w:tc>
        <w:tc>
          <w:tcPr>
            <w:tcW w:w="300" w:type="dxa"/>
            <w:vAlign w:val="bottom"/>
            <w:shd w:val="clear" w:color="auto" w:fill="CFF2FC"/>
          </w:tcPr>
          <w:p>
            <w:pPr>
              <w:spacing w:after="0"/>
              <w:rPr>
                <w:sz w:val="19"/>
                <w:szCs w:val="19"/>
                <w:color w:val="auto"/>
              </w:rPr>
            </w:pPr>
          </w:p>
        </w:tc>
        <w:tc>
          <w:tcPr>
            <w:tcW w:w="860" w:type="dxa"/>
            <w:vAlign w:val="bottom"/>
            <w:shd w:val="clear" w:color="auto" w:fill="CFF2FC"/>
          </w:tcPr>
          <w:p>
            <w:pPr>
              <w:spacing w:after="0"/>
              <w:rPr>
                <w:sz w:val="19"/>
                <w:szCs w:val="19"/>
                <w:color w:val="auto"/>
              </w:rPr>
            </w:pPr>
          </w:p>
        </w:tc>
        <w:tc>
          <w:tcPr>
            <w:tcW w:w="80" w:type="dxa"/>
            <w:vAlign w:val="bottom"/>
            <w:shd w:val="clear" w:color="auto" w:fill="CFF2FC"/>
          </w:tcPr>
          <w:p>
            <w:pPr>
              <w:spacing w:after="0"/>
              <w:rPr>
                <w:sz w:val="19"/>
                <w:szCs w:val="19"/>
                <w:color w:val="auto"/>
              </w:rPr>
            </w:pPr>
          </w:p>
        </w:tc>
        <w:tc>
          <w:tcPr>
            <w:tcW w:w="80" w:type="dxa"/>
            <w:vAlign w:val="bottom"/>
            <w:shd w:val="clear" w:color="auto" w:fill="CFF2FC"/>
          </w:tcPr>
          <w:p>
            <w:pPr>
              <w:spacing w:after="0"/>
              <w:rPr>
                <w:sz w:val="19"/>
                <w:szCs w:val="19"/>
                <w:color w:val="auto"/>
              </w:rPr>
            </w:pPr>
          </w:p>
        </w:tc>
        <w:tc>
          <w:tcPr>
            <w:tcW w:w="80" w:type="dxa"/>
            <w:vAlign w:val="bottom"/>
            <w:shd w:val="clear" w:color="auto" w:fill="CFF2FC"/>
          </w:tcPr>
          <w:p>
            <w:pPr>
              <w:spacing w:after="0"/>
              <w:rPr>
                <w:sz w:val="19"/>
                <w:szCs w:val="19"/>
                <w:color w:val="auto"/>
              </w:rPr>
            </w:pPr>
          </w:p>
        </w:tc>
        <w:tc>
          <w:tcPr>
            <w:tcW w:w="4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940" w:type="dxa"/>
            <w:vAlign w:val="bottom"/>
            <w:shd w:val="clear" w:color="auto" w:fill="CFF2FC"/>
          </w:tcPr>
          <w:p>
            <w:pPr>
              <w:spacing w:after="0"/>
              <w:rPr>
                <w:sz w:val="19"/>
                <w:szCs w:val="19"/>
                <w:color w:val="auto"/>
              </w:rPr>
            </w:pPr>
          </w:p>
        </w:tc>
        <w:tc>
          <w:tcPr>
            <w:tcW w:w="100" w:type="dxa"/>
            <w:vAlign w:val="bottom"/>
            <w:tcBorders>
              <w:right w:val="single" w:sz="8" w:color="CFF2FC"/>
            </w:tcBorders>
            <w:shd w:val="clear" w:color="auto" w:fill="CFF2FC"/>
          </w:tcPr>
          <w:p>
            <w:pPr>
              <w:spacing w:after="0"/>
              <w:rPr>
                <w:sz w:val="19"/>
                <w:szCs w:val="19"/>
                <w:color w:val="auto"/>
              </w:rPr>
            </w:pPr>
          </w:p>
        </w:tc>
        <w:tc>
          <w:tcPr>
            <w:tcW w:w="4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U.S. Treasury notes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94,208</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94,208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FF2FC"/>
            </w:tcBorders>
          </w:tcPr>
          <w:p>
            <w:pPr>
              <w:spacing w:after="0"/>
              <w:rPr>
                <w:sz w:val="19"/>
                <w:szCs w:val="19"/>
                <w:color w:val="auto"/>
              </w:rPr>
            </w:pPr>
          </w:p>
        </w:tc>
        <w:tc>
          <w:tcPr>
            <w:tcW w:w="4240" w:type="dxa"/>
            <w:vAlign w:val="bottom"/>
            <w:shd w:val="clear" w:color="auto" w:fill="CFF2FC"/>
          </w:tcPr>
          <w:p>
            <w:pPr>
              <w:ind w:left="8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220" w:type="dxa"/>
            <w:vAlign w:val="bottom"/>
            <w:gridSpan w:val="3"/>
            <w:shd w:val="clear" w:color="auto" w:fill="CFF2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60" w:type="dxa"/>
            <w:vAlign w:val="bottom"/>
            <w:gridSpan w:val="2"/>
            <w:shd w:val="clear" w:color="auto" w:fill="CFF2FC"/>
          </w:tcPr>
          <w:p>
            <w:pPr>
              <w:jc w:val="right"/>
              <w:ind w:right="20"/>
              <w:spacing w:after="0"/>
              <w:rPr>
                <w:sz w:val="20"/>
                <w:szCs w:val="20"/>
                <w:color w:val="auto"/>
              </w:rPr>
            </w:pPr>
            <w:r>
              <w:rPr>
                <w:rFonts w:ascii="Arial" w:cs="Arial" w:eastAsia="Arial" w:hAnsi="Arial"/>
                <w:sz w:val="18"/>
                <w:szCs w:val="18"/>
                <w:color w:val="auto"/>
              </w:rPr>
              <w:t>93,909</w:t>
            </w:r>
          </w:p>
        </w:tc>
        <w:tc>
          <w:tcPr>
            <w:tcW w:w="140" w:type="dxa"/>
            <w:vAlign w:val="bottom"/>
            <w:shd w:val="clear" w:color="auto" w:fill="CFF2FC"/>
          </w:tcPr>
          <w:p>
            <w:pPr>
              <w:spacing w:after="0"/>
              <w:rPr>
                <w:sz w:val="19"/>
                <w:szCs w:val="19"/>
                <w:color w:val="auto"/>
              </w:rPr>
            </w:pPr>
          </w:p>
        </w:tc>
        <w:tc>
          <w:tcPr>
            <w:tcW w:w="80" w:type="dxa"/>
            <w:vAlign w:val="bottom"/>
            <w:shd w:val="clear" w:color="auto" w:fill="CFF2FC"/>
          </w:tcPr>
          <w:p>
            <w:pPr>
              <w:spacing w:after="0"/>
              <w:rPr>
                <w:sz w:val="19"/>
                <w:szCs w:val="19"/>
                <w:color w:val="auto"/>
              </w:rPr>
            </w:pPr>
          </w:p>
        </w:tc>
        <w:tc>
          <w:tcPr>
            <w:tcW w:w="300" w:type="dxa"/>
            <w:vAlign w:val="bottom"/>
            <w:shd w:val="clear" w:color="auto" w:fill="CFF2FC"/>
          </w:tcPr>
          <w:p>
            <w:pPr>
              <w:spacing w:after="0"/>
              <w:rPr>
                <w:sz w:val="19"/>
                <w:szCs w:val="19"/>
                <w:color w:val="auto"/>
              </w:rPr>
            </w:pPr>
          </w:p>
        </w:tc>
        <w:tc>
          <w:tcPr>
            <w:tcW w:w="1100" w:type="dxa"/>
            <w:vAlign w:val="bottom"/>
            <w:gridSpan w:val="4"/>
            <w:shd w:val="clear" w:color="auto" w:fill="CFF2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40" w:type="dxa"/>
            <w:vAlign w:val="bottom"/>
            <w:tcBorders>
              <w:right w:val="single" w:sz="8" w:color="CFF2FC"/>
            </w:tcBorders>
            <w:gridSpan w:val="2"/>
            <w:shd w:val="clear" w:color="auto" w:fill="CFF2FC"/>
          </w:tcPr>
          <w:p>
            <w:pPr>
              <w:jc w:val="right"/>
              <w:ind w:right="60"/>
              <w:spacing w:after="0"/>
              <w:rPr>
                <w:sz w:val="20"/>
                <w:szCs w:val="20"/>
                <w:color w:val="auto"/>
              </w:rPr>
            </w:pPr>
            <w:r>
              <w:rPr>
                <w:rFonts w:ascii="Arial" w:cs="Arial" w:eastAsia="Arial" w:hAnsi="Arial"/>
                <w:sz w:val="18"/>
                <w:szCs w:val="18"/>
                <w:color w:val="auto"/>
              </w:rPr>
              <w:t>93,909</w:t>
            </w:r>
          </w:p>
        </w:tc>
        <w:tc>
          <w:tcPr>
            <w:tcW w:w="4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144,035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144,035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CFF2FC"/>
            </w:tcBorders>
          </w:tcPr>
          <w:p>
            <w:pPr>
              <w:spacing w:after="0"/>
              <w:rPr>
                <w:sz w:val="19"/>
                <w:szCs w:val="19"/>
                <w:color w:val="auto"/>
              </w:rPr>
            </w:pPr>
          </w:p>
        </w:tc>
        <w:tc>
          <w:tcPr>
            <w:tcW w:w="4240" w:type="dxa"/>
            <w:vAlign w:val="bottom"/>
            <w:tcBorders>
              <w:top w:val="single" w:sz="8" w:color="CFF2FC"/>
              <w:bottom w:val="single" w:sz="8" w:color="CFF2FC"/>
            </w:tcBorders>
            <w:shd w:val="clear" w:color="auto" w:fill="CFF2FC"/>
          </w:tcPr>
          <w:p>
            <w:pPr>
              <w:spacing w:after="0"/>
              <w:rPr>
                <w:sz w:val="19"/>
                <w:szCs w:val="19"/>
                <w:color w:val="auto"/>
              </w:rPr>
            </w:pPr>
          </w:p>
        </w:tc>
        <w:tc>
          <w:tcPr>
            <w:tcW w:w="120" w:type="dxa"/>
            <w:vAlign w:val="bottom"/>
            <w:tcBorders>
              <w:top w:val="single" w:sz="8" w:color="CFF2FC"/>
              <w:bottom w:val="single" w:sz="8" w:color="CFF2FC"/>
            </w:tcBorders>
            <w:shd w:val="clear" w:color="auto" w:fill="CFF2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2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FF2FC"/>
          </w:tcPr>
          <w:p>
            <w:pPr>
              <w:jc w:val="right"/>
              <w:spacing w:after="0"/>
              <w:rPr>
                <w:sz w:val="20"/>
                <w:szCs w:val="20"/>
                <w:color w:val="auto"/>
              </w:rPr>
            </w:pPr>
            <w:r>
              <w:rPr>
                <w:rFonts w:ascii="Arial" w:cs="Arial" w:eastAsia="Arial" w:hAnsi="Arial"/>
                <w:sz w:val="18"/>
                <w:szCs w:val="18"/>
                <w:color w:val="auto"/>
              </w:rPr>
              <w:t>175,710</w:t>
            </w:r>
          </w:p>
        </w:tc>
        <w:tc>
          <w:tcPr>
            <w:tcW w:w="200" w:type="dxa"/>
            <w:vAlign w:val="bottom"/>
            <w:tcBorders>
              <w:top w:val="single" w:sz="8" w:color="CFF2FC"/>
              <w:bottom w:val="single" w:sz="8" w:color="CFF2FC"/>
            </w:tcBorders>
            <w:shd w:val="clear" w:color="auto" w:fill="CFF2FC"/>
          </w:tcPr>
          <w:p>
            <w:pPr>
              <w:spacing w:after="0"/>
              <w:rPr>
                <w:sz w:val="19"/>
                <w:szCs w:val="19"/>
                <w:color w:val="auto"/>
              </w:rPr>
            </w:pPr>
          </w:p>
        </w:tc>
        <w:tc>
          <w:tcPr>
            <w:tcW w:w="40" w:type="dxa"/>
            <w:vAlign w:val="bottom"/>
            <w:tcBorders>
              <w:top w:val="single" w:sz="8" w:color="CFF2FC"/>
              <w:bottom w:val="single" w:sz="8" w:color="CFF2FC"/>
            </w:tcBorders>
            <w:shd w:val="clear" w:color="auto" w:fill="CFF2FC"/>
          </w:tcPr>
          <w:p>
            <w:pPr>
              <w:spacing w:after="0"/>
              <w:rPr>
                <w:sz w:val="19"/>
                <w:szCs w:val="19"/>
                <w:color w:val="auto"/>
              </w:rPr>
            </w:pPr>
          </w:p>
        </w:tc>
        <w:tc>
          <w:tcPr>
            <w:tcW w:w="220" w:type="dxa"/>
            <w:vAlign w:val="bottom"/>
            <w:tcBorders>
              <w:top w:val="single" w:sz="8" w:color="auto"/>
              <w:bottom w:val="single" w:sz="8" w:color="auto"/>
            </w:tcBorders>
            <w:shd w:val="clear" w:color="auto" w:fill="CFF2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FF2FC"/>
          </w:tcPr>
          <w:p>
            <w:pPr>
              <w:jc w:val="right"/>
              <w:ind w:right="20"/>
              <w:spacing w:after="0"/>
              <w:rPr>
                <w:sz w:val="20"/>
                <w:szCs w:val="20"/>
                <w:color w:val="auto"/>
              </w:rPr>
            </w:pPr>
            <w:r>
              <w:rPr>
                <w:rFonts w:ascii="Arial" w:cs="Arial" w:eastAsia="Arial" w:hAnsi="Arial"/>
                <w:sz w:val="18"/>
                <w:szCs w:val="18"/>
                <w:color w:val="auto"/>
              </w:rPr>
              <w:t>237,944</w:t>
            </w:r>
          </w:p>
        </w:tc>
        <w:tc>
          <w:tcPr>
            <w:tcW w:w="140" w:type="dxa"/>
            <w:vAlign w:val="bottom"/>
            <w:tcBorders>
              <w:top w:val="single" w:sz="8" w:color="CFF2FC"/>
              <w:bottom w:val="single" w:sz="8" w:color="CFF2FC"/>
            </w:tcBorders>
            <w:shd w:val="clear" w:color="auto" w:fill="CFF2FC"/>
          </w:tcPr>
          <w:p>
            <w:pPr>
              <w:spacing w:after="0"/>
              <w:rPr>
                <w:sz w:val="19"/>
                <w:szCs w:val="19"/>
                <w:color w:val="auto"/>
              </w:rPr>
            </w:pPr>
          </w:p>
        </w:tc>
        <w:tc>
          <w:tcPr>
            <w:tcW w:w="80" w:type="dxa"/>
            <w:vAlign w:val="bottom"/>
            <w:tcBorders>
              <w:top w:val="single" w:sz="8" w:color="CFF2FC"/>
              <w:bottom w:val="single" w:sz="8" w:color="CFF2FC"/>
            </w:tcBorders>
            <w:shd w:val="clear" w:color="auto" w:fill="CFF2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2FC"/>
              <w:bottom w:val="single" w:sz="8" w:color="CFF2FC"/>
            </w:tcBorders>
            <w:shd w:val="clear" w:color="auto" w:fill="CFF2FC"/>
          </w:tcPr>
          <w:p>
            <w:pPr>
              <w:spacing w:after="0"/>
              <w:rPr>
                <w:sz w:val="19"/>
                <w:szCs w:val="19"/>
                <w:color w:val="auto"/>
              </w:rPr>
            </w:pPr>
          </w:p>
        </w:tc>
        <w:tc>
          <w:tcPr>
            <w:tcW w:w="60" w:type="dxa"/>
            <w:vAlign w:val="bottom"/>
            <w:tcBorders>
              <w:top w:val="single" w:sz="8" w:color="CFF2FC"/>
              <w:bottom w:val="single" w:sz="8" w:color="CFF2FC"/>
            </w:tcBorders>
            <w:gridSpan w:val="2"/>
            <w:shd w:val="clear" w:color="auto" w:fill="CFF2FC"/>
          </w:tcPr>
          <w:p>
            <w:pPr>
              <w:spacing w:after="0"/>
              <w:rPr>
                <w:sz w:val="19"/>
                <w:szCs w:val="19"/>
                <w:color w:val="auto"/>
              </w:rPr>
            </w:pPr>
          </w:p>
        </w:tc>
        <w:tc>
          <w:tcPr>
            <w:tcW w:w="240" w:type="dxa"/>
            <w:vAlign w:val="bottom"/>
            <w:tcBorders>
              <w:top w:val="single" w:sz="8" w:color="auto"/>
              <w:bottom w:val="single" w:sz="8" w:color="auto"/>
            </w:tcBorders>
            <w:shd w:val="clear" w:color="auto" w:fill="CFF2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FF2FC"/>
            </w:tcBorders>
            <w:gridSpan w:val="2"/>
            <w:shd w:val="clear" w:color="auto" w:fill="CFF2FC"/>
          </w:tcPr>
          <w:p>
            <w:pPr>
              <w:jc w:val="right"/>
              <w:ind w:right="60"/>
              <w:spacing w:after="0"/>
              <w:rPr>
                <w:sz w:val="20"/>
                <w:szCs w:val="20"/>
                <w:color w:val="auto"/>
              </w:rPr>
            </w:pPr>
            <w:r>
              <w:rPr>
                <w:rFonts w:ascii="Arial" w:cs="Arial" w:eastAsia="Arial" w:hAnsi="Arial"/>
                <w:sz w:val="18"/>
                <w:szCs w:val="18"/>
                <w:color w:val="auto"/>
              </w:rPr>
              <w:t>413,654</w:t>
            </w:r>
          </w:p>
        </w:tc>
        <w:tc>
          <w:tcPr>
            <w:tcW w:w="40" w:type="dxa"/>
            <w:vAlign w:val="bottom"/>
            <w:tcBorders>
              <w:top w:val="single" w:sz="8" w:color="CFF2FC"/>
              <w:bottom w:val="single" w:sz="8" w:color="CFF2FC"/>
            </w:tcBorders>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CFF2FC"/>
            </w:tcBorders>
          </w:tcPr>
          <w:p>
            <w:pPr>
              <w:spacing w:after="0"/>
              <w:rPr>
                <w:sz w:val="21"/>
                <w:szCs w:val="21"/>
                <w:color w:val="auto"/>
              </w:rPr>
            </w:pPr>
          </w:p>
        </w:tc>
        <w:tc>
          <w:tcPr>
            <w:tcW w:w="4240" w:type="dxa"/>
            <w:vAlign w:val="bottom"/>
            <w:shd w:val="clear" w:color="auto" w:fill="CFF2FC"/>
          </w:tcPr>
          <w:p>
            <w:pPr>
              <w:spacing w:after="0"/>
              <w:rPr>
                <w:sz w:val="20"/>
                <w:szCs w:val="20"/>
                <w:color w:val="auto"/>
              </w:rPr>
            </w:pPr>
            <w:r>
              <w:rPr>
                <w:rFonts w:ascii="Arial" w:cs="Arial" w:eastAsia="Arial" w:hAnsi="Arial"/>
                <w:sz w:val="18"/>
                <w:szCs w:val="18"/>
                <w:color w:val="auto"/>
              </w:rPr>
              <w:t>Series 1 nonconvertible preferred stock</w:t>
            </w:r>
          </w:p>
        </w:tc>
        <w:tc>
          <w:tcPr>
            <w:tcW w:w="360" w:type="dxa"/>
            <w:vAlign w:val="bottom"/>
            <w:gridSpan w:val="3"/>
            <w:shd w:val="clear" w:color="auto" w:fill="CFF2FC"/>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2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2FC"/>
          </w:tcPr>
          <w:p>
            <w:pPr>
              <w:jc w:val="right"/>
              <w:ind w:right="67"/>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FF2FC"/>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2FC"/>
          </w:tcPr>
          <w:p>
            <w:pPr>
              <w:jc w:val="right"/>
              <w:ind w:right="1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2FC"/>
          </w:tcPr>
          <w:p>
            <w:pPr>
              <w:jc w:val="right"/>
              <w:ind w:right="20"/>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FF2FC"/>
          </w:tcPr>
          <w:p>
            <w:pPr>
              <w:spacing w:after="0"/>
              <w:rPr>
                <w:sz w:val="21"/>
                <w:szCs w:val="21"/>
                <w:color w:val="auto"/>
              </w:rPr>
            </w:pPr>
          </w:p>
        </w:tc>
        <w:tc>
          <w:tcPr>
            <w:tcW w:w="80" w:type="dxa"/>
            <w:vAlign w:val="bottom"/>
            <w:shd w:val="clear" w:color="auto" w:fill="CFF2FC"/>
          </w:tcPr>
          <w:p>
            <w:pPr>
              <w:spacing w:after="0"/>
              <w:rPr>
                <w:sz w:val="21"/>
                <w:szCs w:val="21"/>
                <w:color w:val="auto"/>
              </w:rPr>
            </w:pPr>
          </w:p>
        </w:tc>
        <w:tc>
          <w:tcPr>
            <w:tcW w:w="40" w:type="dxa"/>
            <w:vAlign w:val="bottom"/>
            <w:shd w:val="clear" w:color="auto" w:fill="CFF2FC"/>
          </w:tcPr>
          <w:p>
            <w:pPr>
              <w:spacing w:after="0"/>
              <w:rPr>
                <w:sz w:val="21"/>
                <w:szCs w:val="21"/>
                <w:color w:val="auto"/>
              </w:rPr>
            </w:pPr>
          </w:p>
        </w:tc>
        <w:tc>
          <w:tcPr>
            <w:tcW w:w="20" w:type="dxa"/>
            <w:vAlign w:val="bottom"/>
            <w:shd w:val="clear" w:color="auto" w:fill="CFF2FC"/>
          </w:tcPr>
          <w:p>
            <w:pPr>
              <w:spacing w:after="0"/>
              <w:rPr>
                <w:sz w:val="21"/>
                <w:szCs w:val="21"/>
                <w:color w:val="auto"/>
              </w:rPr>
            </w:pPr>
          </w:p>
        </w:tc>
        <w:tc>
          <w:tcPr>
            <w:tcW w:w="240" w:type="dxa"/>
            <w:vAlign w:val="bottom"/>
            <w:shd w:val="clear" w:color="auto" w:fill="CFF2FC"/>
          </w:tcPr>
          <w:p>
            <w:pPr>
              <w:spacing w:after="0"/>
              <w:rPr>
                <w:sz w:val="21"/>
                <w:szCs w:val="21"/>
                <w:color w:val="auto"/>
              </w:rPr>
            </w:pPr>
          </w:p>
        </w:tc>
        <w:tc>
          <w:tcPr>
            <w:tcW w:w="1040" w:type="dxa"/>
            <w:vAlign w:val="bottom"/>
            <w:tcBorders>
              <w:right w:val="single" w:sz="8" w:color="CFF2FC"/>
            </w:tcBorders>
            <w:gridSpan w:val="2"/>
            <w:shd w:val="clear" w:color="auto" w:fill="CFF2FC"/>
          </w:tcPr>
          <w:p>
            <w:pPr>
              <w:jc w:val="right"/>
              <w:ind w:right="60"/>
              <w:spacing w:after="0"/>
              <w:rPr>
                <w:sz w:val="20"/>
                <w:szCs w:val="20"/>
                <w:color w:val="auto"/>
              </w:rPr>
            </w:pPr>
            <w:r>
              <w:rPr>
                <w:rFonts w:ascii="Arial" w:cs="Arial" w:eastAsia="Arial" w:hAnsi="Arial"/>
                <w:sz w:val="18"/>
                <w:szCs w:val="18"/>
                <w:color w:val="auto"/>
              </w:rPr>
              <w:t>1,479</w:t>
            </w:r>
          </w:p>
        </w:tc>
        <w:tc>
          <w:tcPr>
            <w:tcW w:w="40" w:type="dxa"/>
            <w:vAlign w:val="bottom"/>
            <w:shd w:val="clear" w:color="auto" w:fill="CFF2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March 31, 2021 and 2020, there were no transfers between Level 1, Level 2 and Level 3.</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outstanding shares of Series 1 nonconvertible preferred stock are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Series 1 nonconvertible preferred stock are recognized in other income (expense), net in the consolidated statements of operations.</w:t>
      </w:r>
    </w:p>
    <w:p>
      <w:pPr>
        <w:spacing w:after="0" w:line="4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Range</w:t>
            </w:r>
          </w:p>
        </w:tc>
        <w:tc>
          <w:tcPr>
            <w:tcW w:w="1120" w:type="dxa"/>
            <w:vAlign w:val="bottom"/>
          </w:tcPr>
          <w:p>
            <w:pPr>
              <w:spacing w:after="0"/>
              <w:rPr>
                <w:sz w:val="14"/>
                <w:szCs w:val="14"/>
                <w:color w:val="auto"/>
              </w:rPr>
            </w:pPr>
          </w:p>
        </w:tc>
      </w:tr>
      <w:tr>
        <w:trPr>
          <w:trHeight w:val="146"/>
        </w:trPr>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ind w:left="720"/>
              <w:spacing w:after="0" w:line="147" w:lineRule="exact"/>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ind w:left="420"/>
              <w:spacing w:after="0" w:line="147" w:lineRule="exact"/>
              <w:rPr>
                <w:sz w:val="20"/>
                <w:szCs w:val="20"/>
                <w:color w:val="auto"/>
              </w:rPr>
            </w:pPr>
            <w:r>
              <w:rPr>
                <w:rFonts w:ascii="Arial" w:cs="Arial" w:eastAsia="Arial" w:hAnsi="Arial"/>
                <w:sz w:val="14"/>
                <w:szCs w:val="14"/>
                <w:b w:val="1"/>
                <w:bCs w:val="1"/>
                <w:color w:val="auto"/>
              </w:rPr>
              <w:t>September 30,</w:t>
            </w:r>
          </w:p>
        </w:tc>
        <w:tc>
          <w:tcPr>
            <w:tcW w:w="1120" w:type="dxa"/>
            <w:vAlign w:val="bottom"/>
          </w:tcPr>
          <w:p>
            <w:pPr>
              <w:spacing w:after="0"/>
              <w:rPr>
                <w:sz w:val="12"/>
                <w:szCs w:val="12"/>
                <w:color w:val="auto"/>
              </w:rPr>
            </w:pPr>
          </w:p>
        </w:tc>
      </w:tr>
      <w:tr>
        <w:trPr>
          <w:trHeight w:val="171"/>
        </w:trPr>
        <w:tc>
          <w:tcPr>
            <w:tcW w:w="1140" w:type="dxa"/>
            <w:vAlign w:val="bottom"/>
          </w:tcPr>
          <w:p>
            <w:pPr>
              <w:spacing w:after="0"/>
              <w:rPr>
                <w:sz w:val="14"/>
                <w:szCs w:val="14"/>
                <w:color w:val="auto"/>
              </w:rPr>
            </w:pPr>
          </w:p>
        </w:tc>
        <w:tc>
          <w:tcPr>
            <w:tcW w:w="3660" w:type="dxa"/>
            <w:vAlign w:val="bottom"/>
          </w:tcPr>
          <w:p>
            <w:pPr>
              <w:ind w:left="1700"/>
              <w:spacing w:after="0"/>
              <w:rPr>
                <w:sz w:val="20"/>
                <w:szCs w:val="20"/>
                <w:color w:val="auto"/>
              </w:rPr>
            </w:pPr>
            <w:r>
              <w:rPr>
                <w:rFonts w:ascii="Arial" w:cs="Arial" w:eastAsia="Arial" w:hAnsi="Arial"/>
                <w:sz w:val="14"/>
                <w:szCs w:val="14"/>
                <w:b w:val="1"/>
                <w:bCs w:val="1"/>
                <w:color w:val="auto"/>
              </w:rPr>
              <w:t>Unobservable Input</w:t>
            </w:r>
          </w:p>
        </w:tc>
        <w:tc>
          <w:tcPr>
            <w:tcW w:w="2820" w:type="dxa"/>
            <w:vAlign w:val="bottom"/>
            <w:gridSpan w:val="3"/>
          </w:tcPr>
          <w:p>
            <w:pPr>
              <w:jc w:val="center"/>
              <w:ind w:left="1616"/>
              <w:spacing w:after="0"/>
              <w:rPr>
                <w:sz w:val="20"/>
                <w:szCs w:val="20"/>
                <w:color w:val="auto"/>
              </w:rPr>
            </w:pPr>
            <w:r>
              <w:rPr>
                <w:rFonts w:ascii="Arial" w:cs="Arial" w:eastAsia="Arial" w:hAnsi="Arial"/>
                <w:sz w:val="14"/>
                <w:szCs w:val="14"/>
                <w:b w:val="1"/>
                <w:bCs w:val="1"/>
                <w:color w:val="auto"/>
                <w:w w:val="89"/>
              </w:rPr>
              <w:t>2021</w:t>
            </w:r>
          </w:p>
        </w:tc>
        <w:tc>
          <w:tcPr>
            <w:tcW w:w="2500" w:type="dxa"/>
            <w:vAlign w:val="bottom"/>
            <w:gridSpan w:val="3"/>
          </w:tcPr>
          <w:p>
            <w:pPr>
              <w:jc w:val="center"/>
              <w:ind w:left="622"/>
              <w:spacing w:after="0"/>
              <w:rPr>
                <w:sz w:val="20"/>
                <w:szCs w:val="20"/>
                <w:color w:val="auto"/>
              </w:rPr>
            </w:pPr>
            <w:r>
              <w:rPr>
                <w:rFonts w:ascii="Arial" w:cs="Arial" w:eastAsia="Arial" w:hAnsi="Arial"/>
                <w:sz w:val="14"/>
                <w:szCs w:val="14"/>
                <w:b w:val="1"/>
                <w:bCs w:val="1"/>
                <w:color w:val="auto"/>
                <w:w w:val="89"/>
              </w:rPr>
              <w:t>2020</w:t>
            </w:r>
          </w:p>
        </w:tc>
        <w:tc>
          <w:tcPr>
            <w:tcW w:w="112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Probabilities of payout</w:t>
            </w: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center"/>
              <w:ind w:left="399"/>
              <w:spacing w:after="0"/>
              <w:rPr>
                <w:sz w:val="20"/>
                <w:szCs w:val="20"/>
                <w:color w:val="auto"/>
              </w:rPr>
            </w:pPr>
            <w:r>
              <w:rPr>
                <w:rFonts w:ascii="Arial" w:cs="Arial" w:eastAsia="Arial" w:hAnsi="Arial"/>
                <w:sz w:val="18"/>
                <w:szCs w:val="18"/>
                <w:color w:val="auto"/>
                <w:w w:val="94"/>
              </w:rPr>
              <w:t>0%-60%</w:t>
            </w: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0%-60%</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Discount rate</w:t>
            </w:r>
          </w:p>
        </w:tc>
        <w:tc>
          <w:tcPr>
            <w:tcW w:w="2820" w:type="dxa"/>
            <w:vAlign w:val="bottom"/>
            <w:gridSpan w:val="3"/>
          </w:tcPr>
          <w:p>
            <w:pPr>
              <w:jc w:val="center"/>
              <w:ind w:left="1616"/>
              <w:spacing w:after="0"/>
              <w:rPr>
                <w:sz w:val="20"/>
                <w:szCs w:val="20"/>
                <w:color w:val="auto"/>
              </w:rPr>
            </w:pPr>
            <w:r>
              <w:rPr>
                <w:rFonts w:ascii="Arial" w:cs="Arial" w:eastAsia="Arial" w:hAnsi="Arial"/>
                <w:sz w:val="18"/>
                <w:szCs w:val="18"/>
                <w:color w:val="auto"/>
                <w:w w:val="93"/>
              </w:rPr>
              <w:t>4.25%</w:t>
            </w:r>
          </w:p>
        </w:tc>
        <w:tc>
          <w:tcPr>
            <w:tcW w:w="2500" w:type="dxa"/>
            <w:vAlign w:val="bottom"/>
            <w:gridSpan w:val="3"/>
          </w:tcPr>
          <w:p>
            <w:pPr>
              <w:jc w:val="center"/>
              <w:ind w:left="622"/>
              <w:spacing w:after="0"/>
              <w:rPr>
                <w:sz w:val="20"/>
                <w:szCs w:val="20"/>
                <w:color w:val="auto"/>
              </w:rPr>
            </w:pPr>
            <w:r>
              <w:rPr>
                <w:rFonts w:ascii="Arial" w:cs="Arial" w:eastAsia="Arial" w:hAnsi="Arial"/>
                <w:sz w:val="18"/>
                <w:szCs w:val="18"/>
                <w:color w:val="auto"/>
                <w:w w:val="93"/>
              </w:rPr>
              <w:t>4.25%</w:t>
            </w:r>
          </w:p>
        </w:tc>
        <w:tc>
          <w:tcPr>
            <w:tcW w:w="1120" w:type="dxa"/>
            <w:vAlign w:val="bottom"/>
          </w:tcPr>
          <w:p>
            <w:pPr>
              <w:spacing w:after="0"/>
              <w:rPr>
                <w:sz w:val="20"/>
                <w:szCs w:val="20"/>
                <w:color w:val="auto"/>
              </w:rPr>
            </w:pPr>
          </w:p>
        </w:tc>
      </w:tr>
      <w:tr>
        <w:trPr>
          <w:trHeight w:val="431"/>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outstanding Series 1 nonconvertible preferred stock for which fair value is determined by Level 3 inputs: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Series 1</w:t>
            </w:r>
          </w:p>
        </w:tc>
      </w:tr>
      <w:tr>
        <w:trPr>
          <w:trHeight w:val="148"/>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Nonconvertible</w:t>
            </w:r>
          </w:p>
        </w:tc>
      </w:tr>
      <w:tr>
        <w:trPr>
          <w:trHeight w:val="148"/>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Preferred</w:t>
            </w:r>
          </w:p>
        </w:tc>
      </w:tr>
      <w:tr>
        <w:trPr>
          <w:trHeight w:val="171"/>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Stock</w:t>
            </w: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2020</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000" w:type="dxa"/>
            <w:vAlign w:val="bottom"/>
          </w:tcPr>
          <w:p>
            <w:pPr>
              <w:ind w:left="120"/>
              <w:spacing w:after="0"/>
              <w:rPr>
                <w:sz w:val="20"/>
                <w:szCs w:val="20"/>
                <w:color w:val="auto"/>
              </w:rPr>
            </w:pPr>
            <w:r>
              <w:rPr>
                <w:rFonts w:ascii="Arial" w:cs="Arial" w:eastAsia="Arial" w:hAnsi="Arial"/>
                <w:sz w:val="18"/>
                <w:szCs w:val="18"/>
                <w:color w:val="auto"/>
              </w:rPr>
              <w:t>Change in fair value of nonconvertible preferred stock</w:t>
            </w:r>
          </w:p>
        </w:tc>
        <w:tc>
          <w:tcPr>
            <w:tcW w:w="26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March 31, 2021</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September 30, 2020, the fair value of available-for-sale marketable securities, by type of security, was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6"/>
              </w:rPr>
              <w:t>March 31, 2021</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Credit Losses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153,459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Corporate bonds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118,001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51,414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322,874</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4"/>
                <w:szCs w:val="14"/>
                <w:b w:val="1"/>
                <w:bCs w:val="1"/>
                <w:color w:val="auto"/>
                <w:w w:val="91"/>
              </w:rPr>
              <w:t>September 30, 2020</w:t>
            </w: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Credit Losses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143,274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Commercial paper</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93,909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93,740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330,923</w:t>
            </w: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440" w:type="dxa"/>
            <w:vAlign w:val="bottom"/>
            <w:tcBorders>
              <w:top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March 31, 2021 and September 30, 2020 marketable securities consisted of investments that mature within one year, with the exception of certain corporate bonds and U.S. Treasury notes, which have maturities between one and three years and an aggregate fair value of $24,493 and $32,634,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11" w:name="page12"/>
    <w:bookmarkEnd w:id="11"/>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Accrued expenses and other current liabilities, as well as other long-term liabilities, consisted of the following as of March 31, 2021 and September 30, 2020:</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0" w:type="dxa"/>
            <w:vAlign w:val="bottom"/>
            <w:gridSpan w:val="5"/>
          </w:tcPr>
          <w:p>
            <w:pPr>
              <w:jc w:val="right"/>
              <w:ind w:right="99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7,031</w:t>
            </w:r>
          </w:p>
        </w:tc>
        <w:tc>
          <w:tcPr>
            <w:tcW w:w="2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Accrued pharmaceutical drug manufacturing</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15,744</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$1,076,000 through March 31, 2021. Since the Company satisfied all of its performance obligations under the AbbVie Agreement by the end of fiscal 2011, all milestone payments received since then have been recognized as revenue when the milestones were achieved by AbbVie.</w:t>
      </w:r>
    </w:p>
    <w:p>
      <w:pPr>
        <w:spacing w:after="0" w:line="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9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Series 1 Nonconvertible Preferred Stock</w:t>
      </w:r>
    </w:p>
    <w:p>
      <w:pPr>
        <w:spacing w:after="0" w:line="1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2021, 1,930 shares of Series 1 nonconvertible preferred stock were issued and outstanding. Since these shares qualify as a derivative, the outstanding shares are carried at fair value as a liability on the Company’s consolidated balance sheet.</w:t>
      </w:r>
    </w:p>
    <w:p>
      <w:pPr>
        <w:spacing w:after="0" w:line="27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The Company also has outstanding stock option awards under its 2012 Equity Incentive Plan (the “2012 Plan”) and its amended and restated 1995 Equity Incentive Plan (the “1995 Plan”), but is no longer granting awards under these plans.</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The following table summarizes stock option activity, including performance-based options, for the year-to-date period ending March 31, 2021:</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Issuable</w:t>
            </w:r>
          </w:p>
        </w:tc>
        <w:tc>
          <w:tcPr>
            <w:tcW w:w="20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Under</w:t>
            </w:r>
          </w:p>
        </w:tc>
        <w:tc>
          <w:tcPr>
            <w:tcW w:w="2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2020</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44.76</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66.81</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March 31, 2021</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6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29,478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and expected to vest as of</w:t>
            </w: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2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32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March 31,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240" w:type="dxa"/>
            <w:vAlign w:val="bottom"/>
            <w:tcBorders>
              <w:bottom w:val="single" w:sz="8" w:color="CFF0FC"/>
            </w:tcBorders>
          </w:tcPr>
          <w:p>
            <w:pPr>
              <w:spacing w:after="0"/>
              <w:rPr>
                <w:sz w:val="23"/>
                <w:szCs w:val="23"/>
                <w:color w:val="auto"/>
              </w:rPr>
            </w:pPr>
          </w:p>
        </w:tc>
        <w:tc>
          <w:tcPr>
            <w:tcW w:w="200" w:type="dxa"/>
            <w:vAlign w:val="bottom"/>
            <w:tcBorders>
              <w:bottom w:val="single" w:sz="8" w:color="CFF0FC"/>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48.77</w:t>
            </w:r>
          </w:p>
        </w:tc>
        <w:tc>
          <w:tcPr>
            <w:tcW w:w="240" w:type="dxa"/>
            <w:vAlign w:val="bottom"/>
            <w:tcBorders>
              <w:bottom w:val="single" w:sz="8" w:color="CFF0FC"/>
            </w:tcBorders>
          </w:tcPr>
          <w:p>
            <w:pPr>
              <w:spacing w:after="0"/>
              <w:rPr>
                <w:sz w:val="23"/>
                <w:szCs w:val="23"/>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6.8</w:t>
            </w:r>
          </w:p>
        </w:tc>
        <w:tc>
          <w:tcPr>
            <w:tcW w:w="3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29,478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March 31, 2021</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25,801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March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PSUs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gridSpan w:val="5"/>
          </w:tcPr>
          <w:p>
            <w:pPr>
              <w:ind w:left="1080"/>
              <w:spacing w:after="0"/>
              <w:rPr>
                <w:sz w:val="20"/>
                <w:szCs w:val="20"/>
                <w:color w:val="auto"/>
              </w:rPr>
            </w:pPr>
            <w:r>
              <w:rPr>
                <w:rFonts w:ascii="Arial" w:cs="Arial" w:eastAsia="Arial" w:hAnsi="Arial"/>
                <w:sz w:val="14"/>
                <w:szCs w:val="14"/>
                <w:b w:val="1"/>
                <w:bCs w:val="1"/>
                <w:color w:val="auto"/>
              </w:rPr>
              <w:t>rTSRUs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38"/>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4"/>
          </w:tcPr>
          <w:p>
            <w:pPr>
              <w:jc w:val="right"/>
              <w:ind w:right="400"/>
              <w:spacing w:after="0" w:line="155" w:lineRule="exact"/>
              <w:rPr>
                <w:sz w:val="20"/>
                <w:szCs w:val="20"/>
                <w:color w:val="auto"/>
              </w:rPr>
            </w:pPr>
            <w:r>
              <w:rPr>
                <w:rFonts w:ascii="Arial" w:cs="Arial" w:eastAsia="Arial" w:hAnsi="Arial"/>
                <w:sz w:val="14"/>
                <w:szCs w:val="14"/>
                <w:b w:val="1"/>
                <w:bCs w:val="1"/>
                <w:color w:val="auto"/>
                <w:w w:val="92"/>
              </w:rPr>
              <w:t>(in thousands, except per share data)</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2020</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65.23</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Vested</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Cancelled</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67.13</w:t>
            </w:r>
          </w:p>
        </w:tc>
        <w:tc>
          <w:tcPr>
            <w:tcW w:w="2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March 31, 2021</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5280" w:type="dxa"/>
            <w:vAlign w:val="bottom"/>
            <w:gridSpan w:val="2"/>
          </w:tcPr>
          <w:p>
            <w:pPr>
              <w:ind w:left="496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three months ended December 31, 2016, the Company awarded restricted stock units to its employees, which vest 50% in three years and 50% in four years, provided the employee remains employed with the Company at the time of vesting. The fair value per share of these awards was determined based on the intrinsic value of the stock on the date of grant and is being recognized as stock-based compensation expense over the requisite service period. These units became fully vested during the three months ended December 31, 2020. In November 2020, the Company awarded additional restricted stock units to its employees, which vest in equal annual installments over four years, provided the employee remains employed with the Company at the time of vesting. The fair value per share of these awards was determined based on the intrinsic value of the stock on the date of grant and is being recognized as stock-based compensation expense over the requisite service period. The following table summarizes the restricted stock unit activity for the year-to-date period ending March 31, 2021:</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Restricted Stock</w:t>
            </w: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3080" w:type="dxa"/>
            <w:vAlign w:val="bottom"/>
            <w:tcBorders>
              <w:top w:val="single" w:sz="8" w:color="auto"/>
            </w:tcBorders>
            <w:gridSpan w:val="4"/>
          </w:tcPr>
          <w:p>
            <w:pPr>
              <w:jc w:val="right"/>
              <w:ind w:right="338"/>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2020</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March 31, 2021</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March 31, 2021 and 2020, the Company recognized the following stock-based compensation expense:</w:t>
      </w:r>
    </w:p>
    <w:p>
      <w:pPr>
        <w:spacing w:after="0" w:line="255"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3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78"/>
              <w:spacing w:after="0"/>
              <w:rPr>
                <w:sz w:val="20"/>
                <w:szCs w:val="20"/>
                <w:color w:val="auto"/>
              </w:rPr>
            </w:pPr>
            <w:r>
              <w:rPr>
                <w:rFonts w:ascii="Arial" w:cs="Arial" w:eastAsia="Arial" w:hAnsi="Arial"/>
                <w:sz w:val="14"/>
                <w:szCs w:val="14"/>
                <w:b w:val="1"/>
                <w:bCs w:val="1"/>
                <w:color w:val="auto"/>
                <w:w w:val="99"/>
              </w:rPr>
              <w:t>March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5,180</w:t>
            </w:r>
          </w:p>
        </w:tc>
        <w:tc>
          <w:tcPr>
            <w:tcW w:w="80" w:type="dxa"/>
            <w:vAlign w:val="bottom"/>
            <w:shd w:val="clear" w:color="auto" w:fill="CFF0FC"/>
          </w:tcPr>
          <w:p>
            <w:pPr>
              <w:spacing w:after="0"/>
              <w:rPr>
                <w:sz w:val="19"/>
                <w:szCs w:val="19"/>
                <w:color w:val="auto"/>
              </w:rPr>
            </w:pPr>
          </w:p>
        </w:tc>
      </w:tr>
      <w:tr>
        <w:trPr>
          <w:trHeight w:val="229"/>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80" w:type="dxa"/>
            <w:vAlign w:val="bottom"/>
            <w:tcBorders>
              <w:bottom w:val="single" w:sz="8" w:color="CFF0FC"/>
            </w:tcBorders>
          </w:tcPr>
          <w:p>
            <w:pPr>
              <w:spacing w:after="0"/>
              <w:rPr>
                <w:sz w:val="19"/>
                <w:szCs w:val="19"/>
                <w:color w:val="auto"/>
              </w:rPr>
            </w:pPr>
          </w:p>
        </w:tc>
      </w:tr>
      <w:tr>
        <w:trPr>
          <w:trHeight w:val="223"/>
        </w:trPr>
        <w:tc>
          <w:tcPr>
            <w:tcW w:w="3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5,280</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4,977</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10,163</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6"/>
        </w:trPr>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3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78"/>
              <w:spacing w:after="0"/>
              <w:rPr>
                <w:sz w:val="20"/>
                <w:szCs w:val="20"/>
                <w:color w:val="auto"/>
              </w:rPr>
            </w:pPr>
            <w:r>
              <w:rPr>
                <w:rFonts w:ascii="Arial" w:cs="Arial" w:eastAsia="Arial" w:hAnsi="Arial"/>
                <w:sz w:val="14"/>
                <w:szCs w:val="14"/>
                <w:b w:val="1"/>
                <w:bCs w:val="1"/>
                <w:color w:val="auto"/>
                <w:w w:val="99"/>
              </w:rPr>
              <w:t>March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8,777</w:t>
            </w:r>
          </w:p>
        </w:tc>
        <w:tc>
          <w:tcPr>
            <w:tcW w:w="8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Performance stock units</w:t>
            </w:r>
          </w:p>
        </w:tc>
        <w:tc>
          <w:tcPr>
            <w:tcW w:w="2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rTSRUs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FF0FC"/>
          </w:tcPr>
          <w:p>
            <w:pPr>
              <w:spacing w:after="0"/>
              <w:rPr>
                <w:sz w:val="19"/>
                <w:szCs w:val="19"/>
                <w:color w:val="auto"/>
              </w:rPr>
            </w:pPr>
          </w:p>
        </w:tc>
      </w:tr>
      <w:tr>
        <w:trPr>
          <w:trHeight w:val="230"/>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80" w:type="dxa"/>
            <w:vAlign w:val="bottom"/>
            <w:tcBorders>
              <w:bottom w:val="single" w:sz="8" w:color="CFF0FC"/>
            </w:tcBorders>
          </w:tcPr>
          <w:p>
            <w:pPr>
              <w:spacing w:after="0"/>
              <w:rPr>
                <w:sz w:val="19"/>
                <w:szCs w:val="19"/>
                <w:color w:val="auto"/>
              </w:rPr>
            </w:pPr>
          </w:p>
        </w:tc>
      </w:tr>
      <w:tr>
        <w:trPr>
          <w:trHeight w:val="223"/>
        </w:trPr>
        <w:tc>
          <w:tcPr>
            <w:tcW w:w="3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5,280</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4,977</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10,163</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During the three months ended December 31, 2019, the Company recognized stock-based compensation expense for performance-based stock units for which vesting became probable upon achievement of performance-based targets that occurred during the performance period. During the three months ended March 31, 2021 no such units vested.</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2021, the Company had an aggregate of $54,137 of unrecognized stock-based compensation cost, which is expected to be recognized over a weighted average period of 2.5 years.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14" w:name="page15"/>
    <w:bookmarkEnd w:id="14"/>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for the three and six months ended March 31, 2021 and 2020:</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60" w:type="dxa"/>
            <w:vAlign w:val="bottom"/>
            <w:gridSpan w:val="6"/>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2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5"/>
          </w:tcPr>
          <w:p>
            <w:pPr>
              <w:jc w:val="right"/>
              <w:ind w:right="300"/>
              <w:spacing w:after="0" w:line="155" w:lineRule="exact"/>
              <w:rPr>
                <w:sz w:val="20"/>
                <w:szCs w:val="20"/>
                <w:color w:val="auto"/>
              </w:rPr>
            </w:pPr>
            <w:r>
              <w:rPr>
                <w:rFonts w:ascii="Arial" w:cs="Arial" w:eastAsia="Arial" w:hAnsi="Arial"/>
                <w:sz w:val="14"/>
                <w:szCs w:val="14"/>
                <w:b w:val="1"/>
                <w:bCs w:val="1"/>
                <w:color w:val="auto"/>
                <w:w w:val="90"/>
              </w:rPr>
              <w:t>(in thousands, except per share data)</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(22,045)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(6,005)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(30,373)</w:t>
            </w: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20,171</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19,922</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20,131</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240"/>
              <w:spacing w:after="0"/>
              <w:rPr>
                <w:sz w:val="20"/>
                <w:szCs w:val="20"/>
                <w:color w:val="auto"/>
              </w:rPr>
            </w:pPr>
            <w:r>
              <w:rPr>
                <w:rFonts w:ascii="Arial" w:cs="Arial" w:eastAsia="Arial" w:hAnsi="Arial"/>
                <w:sz w:val="18"/>
                <w:szCs w:val="18"/>
                <w:color w:val="auto"/>
              </w:rPr>
              <w:t>Net income (loss) per share common share—basic</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FF0FC"/>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3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(22,045)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(6,005)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(30,373)</w:t>
            </w: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20,171</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19,922</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480"/>
              <w:spacing w:after="0"/>
              <w:rPr>
                <w:sz w:val="20"/>
                <w:szCs w:val="20"/>
                <w:color w:val="auto"/>
              </w:rPr>
            </w:pPr>
            <w:r>
              <w:rPr>
                <w:rFonts w:ascii="Arial" w:cs="Arial" w:eastAsia="Arial" w:hAnsi="Arial"/>
                <w:sz w:val="18"/>
                <w:szCs w:val="18"/>
                <w:color w:val="auto"/>
              </w:rPr>
              <w:t>Dilutive effect of common stock equivalents</w:t>
            </w:r>
          </w:p>
        </w:tc>
        <w:tc>
          <w:tcPr>
            <w:tcW w:w="24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20,171</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19,922</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20,131</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240"/>
              <w:spacing w:after="0"/>
              <w:rPr>
                <w:sz w:val="20"/>
                <w:szCs w:val="20"/>
                <w:color w:val="auto"/>
              </w:rPr>
            </w:pPr>
            <w:r>
              <w:rPr>
                <w:rFonts w:ascii="Arial" w:cs="Arial" w:eastAsia="Arial" w:hAnsi="Arial"/>
                <w:sz w:val="18"/>
                <w:szCs w:val="18"/>
                <w:color w:val="auto"/>
              </w:rPr>
              <w:t>Net income (loss) per share common share—diluted</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FF0FC"/>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3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FF0FC"/>
          </w:tcPr>
          <w:p>
            <w:pPr>
              <w:ind w:left="240"/>
              <w:spacing w:after="0" w:line="195" w:lineRule="exact"/>
              <w:rPr>
                <w:sz w:val="20"/>
                <w:szCs w:val="20"/>
                <w:color w:val="auto"/>
              </w:rPr>
            </w:pPr>
            <w:r>
              <w:rPr>
                <w:rFonts w:ascii="Arial" w:cs="Arial" w:eastAsia="Arial" w:hAnsi="Arial"/>
                <w:sz w:val="18"/>
                <w:szCs w:val="18"/>
                <w:color w:val="auto"/>
              </w:rPr>
              <w:t>Anti-dilutive common stock equivalents excluded</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from above</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incurred a net loss since the impact of such common stock equivalents would have been anti-dilutive.</w:t>
      </w:r>
    </w:p>
    <w:p>
      <w:pPr>
        <w:spacing w:after="0" w:line="274"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2021 and 2020, the Company recorded an income tax benefit of $7,110 and $3,920, respectively, both of which were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the Company’s domestic operations. The Company recorded an income tax benefit during the three and six months ended March 31,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Company’s ability and intent to carryback its current year tax loss under the Coronavirus Aid, Relief and Economic Security Act (the “CARES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which was signed into law in March 2020. As of March 31, 2021 and September 30, 2020, the Company recorded prepaid federal income taxes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$18,804 and $10,487, respectively. For the three and six months ended March 31, 2020, the Company determined the use of the discrete method was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appropriate than the annual effective tax rate method due to the sensitivity of the Company’s tax rate in the prior period to small changes in projected pre-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earnings, which resulted in significant variations in the customary relationship between income tax expense and pretax income.</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the statute for the year ended September 30, 2017 to the present. Earlier years may be examined to the extent that tax credit or net operating loss carryforwards are used in future or prior periods. The Company is not currently under examination by any jurisdiction for any tax year open under the statute.</w:t>
      </w:r>
    </w:p>
    <w:p>
      <w:pPr>
        <w:spacing w:after="0" w:line="6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had unrecognized tax benefits totaling $686 and $788 as of March 31, 2021, and September 30, 2020, respectively. Unrecognized tax benefits represent tax positions for which reserves have been established. The Company’s policy is to record interest and penalties related to uncertain tax positions as part of its income tax provision.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CARES Act lifts certain deduction limitations originally imposed by the Tax Cuts and Jobs Act of 2017 (the “2017 Tax Act”). Under the CARES Act, the Company is permitted to carry back net operating losses originating beginning in fiscal 2018 through fiscal 2021 for up to five years. Net operating loss carrybacks were previously prohibited under the 2017 Tax Act. The CARES Act also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5" w:name="page16"/>
    <w:bookmarkEnd w:id="15"/>
    <w:p>
      <w:pPr>
        <w:jc w:val="both"/>
        <w:ind w:right="140"/>
        <w:spacing w:after="0" w:line="286" w:lineRule="auto"/>
        <w:rPr>
          <w:sz w:val="20"/>
          <w:szCs w:val="20"/>
          <w:color w:val="auto"/>
        </w:rPr>
      </w:pPr>
      <w:r>
        <w:rPr>
          <w:rFonts w:ascii="Arial" w:cs="Arial" w:eastAsia="Arial" w:hAnsi="Arial"/>
          <w:sz w:val="17"/>
          <w:szCs w:val="17"/>
          <w:color w:val="auto"/>
        </w:rPr>
        <w:t>eliminates the 80% of taxable income limitations by allowing corporate entities to fully utilize net operating losses to offset taxable income in those prior years. In addition, the CARES Act makes qualified improvement property eligible for 15-year cost-recovery and 100% bonus depreciation. The impact of the CARES Act has been incorporated into the consolidated financial statements during the six months ended March 31, 2021.</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2021, the Company recorded a valuation allowance against substantially all of its net deferred tax assets. The Company continues to believe it more likely that it will not have sufficient taxable income in the future that will allow it to realize all of its existing deferred tax assets. This is due to the fact the Company continues to progress its wholly-owned research and development programs and its declining royalty revenues from its Collaboration Agreement with AbbVie.</w:t>
      </w:r>
    </w:p>
    <w:p>
      <w:pPr>
        <w:spacing w:after="0" w:line="33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March 31, 2021.</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2020 included in our Annual Report on Form 10-K for that fiscal year which is referred to as our 2020 Form 10-K. Please refer to our note regarding forward-looking statements on page 2 of this Form 10-Q, which is incorporated herein by this reference.</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are a biotechnology company that uses our robust, chemistry-driven approach and drug discovery capabilities to become a leader in the discovery and development of small molecule drugs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leading brand of direct-acting antiviral, or DAA, combination treatment for HCV, which is marketed under the tradenames MAVYRET</w:t>
      </w:r>
      <w:r>
        <w:rPr>
          <w:rFonts w:ascii="Arial" w:cs="Arial" w:eastAsia="Arial" w:hAnsi="Arial"/>
          <w:sz w:val="14"/>
          <w:szCs w:val="14"/>
          <w:color w:val="auto"/>
        </w:rPr>
        <w:t>®</w:t>
      </w:r>
      <w:r>
        <w:rPr>
          <w:rFonts w:ascii="Arial" w:cs="Arial" w:eastAsia="Arial" w:hAnsi="Arial"/>
          <w:sz w:val="17"/>
          <w:szCs w:val="17"/>
          <w:color w:val="auto"/>
        </w:rPr>
        <w:t xml:space="preserve"> (U.S.) and MAVIRET</w:t>
      </w:r>
      <w:r>
        <w:rPr>
          <w:rFonts w:ascii="Arial" w:cs="Arial" w:eastAsia="Arial" w:hAnsi="Arial"/>
          <w:sz w:val="14"/>
          <w:szCs w:val="14"/>
          <w:color w:val="auto"/>
        </w:rPr>
        <w:t>®</w:t>
      </w:r>
      <w:r>
        <w:rPr>
          <w:rFonts w:ascii="Arial" w:cs="Arial" w:eastAsia="Arial" w:hAnsi="Arial"/>
          <w:sz w:val="17"/>
          <w:szCs w:val="17"/>
          <w:color w:val="auto"/>
        </w:rPr>
        <w:t xml:space="preserve"> (ex-U.S.) (glecaprevir/pibrentasvir). Our royalties from our AbbVie collaboration provide us funding to support our wholly-owned research and development programs, which are primarily focused on the following disease targets:</w:t>
      </w:r>
    </w:p>
    <w:p>
      <w:pPr>
        <w:spacing w:after="0" w:line="70" w:lineRule="exact"/>
        <w:rPr>
          <w:sz w:val="20"/>
          <w:szCs w:val="20"/>
          <w:color w:val="auto"/>
        </w:rPr>
      </w:pPr>
    </w:p>
    <w:p>
      <w:pPr>
        <w:ind w:left="1000" w:right="160" w:hanging="493"/>
        <w:spacing w:after="0" w:line="31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Respiratory syncytial virus, or RSV, the most common cause of bronchiolitis and pneumonia in young children and a significant cause of respiratory illness in older adults, with estimates suggesting that approximately 200,000 hospitalizations in the U.S. and EU occur each year in children under the age of two and approximately 170,000 hospitalizations in these regions occur each year in adults over the age of 65;</w:t>
      </w:r>
    </w:p>
    <w:p>
      <w:pPr>
        <w:spacing w:after="0" w:line="40" w:lineRule="exact"/>
        <w:rPr>
          <w:rFonts w:ascii="Arial" w:cs="Arial" w:eastAsia="Arial" w:hAnsi="Arial"/>
          <w:sz w:val="16"/>
          <w:szCs w:val="16"/>
          <w:color w:val="auto"/>
        </w:rPr>
      </w:pPr>
    </w:p>
    <w:p>
      <w:pPr>
        <w:ind w:left="1000" w:right="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Hepatitis B virus, or HBV, the most prevalent chronic hepatitis, which is estimated by the World Health Organization to affect more than 250 million individuals worldwide;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SARS-CoV-2, the virus that causes COVID-19;</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Human metapneumovirus, or hMPV, a virus that causes respiratory infection with symptoms similar to RSV; and</w:t>
      </w:r>
    </w:p>
    <w:p>
      <w:pPr>
        <w:spacing w:after="0" w:line="144"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1.5% to 6.5% of the population in the developed world (which translates to approximately 5 to 20 million individuals in the U.S. alone).</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had $400.4 million in cash, cash equivalents and short-term and long-term marketable securities at March 31, 2021. In fiscal 2020, we earned $122.5 million in product royalties on AbbVie’s net sales of its HCV regimens. We expect cash flows from our continuing HCV royalties and our existing financial resources will allow us to continue to fund our wholly-owned research and development programs for the foreseeable future.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wholly-owned research and development programs are in virology, namely RSV, HBV, SARS-CoV-2 and hMPV, and in NASH, a non-viral liver disease:</w:t>
      </w:r>
    </w:p>
    <w:p>
      <w:pPr>
        <w:spacing w:after="0" w:line="62"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a clinical stage program for RSV, for which the lead asset is EDP-938.</w:t>
      </w:r>
    </w:p>
    <w:p>
      <w:pPr>
        <w:spacing w:after="0" w:line="144" w:lineRule="exact"/>
        <w:rPr>
          <w:rFonts w:ascii="Arial" w:cs="Arial" w:eastAsia="Arial" w:hAnsi="Arial"/>
          <w:sz w:val="18"/>
          <w:szCs w:val="18"/>
          <w:color w:val="auto"/>
        </w:rPr>
      </w:pPr>
    </w:p>
    <w:p>
      <w:pPr>
        <w:ind w:left="1520" w:right="100" w:hanging="500"/>
        <w:spacing w:after="0" w:line="296"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 xml:space="preserve">In June 2019, we announced positive topline results from our Phase 2a human challenge study of EDP-938 in healthy adults infected with a specific strain of RSV. Data from this study demonstrated that EDP-938 achieved highly statistically significant reductions (p= &lt;0.001) in RSV viral load (by both qRT-PCR and plaque assays), total symptom scores and mucus weights compared to placebo. In addition, the study showed that mean trough levels of drug achieved in study subjects were 20-40x higher than the amount of EDP-938 that has been shown in previously reported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to reduce 90% of the viral RNA in RSV-infected human cells.</w:t>
      </w:r>
    </w:p>
    <w:p>
      <w:pPr>
        <w:spacing w:after="0" w:line="53" w:lineRule="exact"/>
        <w:rPr>
          <w:rFonts w:ascii="Arial" w:cs="Arial" w:eastAsia="Arial" w:hAnsi="Arial"/>
          <w:sz w:val="18"/>
          <w:szCs w:val="18"/>
          <w:color w:val="auto"/>
        </w:rPr>
      </w:pPr>
    </w:p>
    <w:p>
      <w:pPr>
        <w:ind w:left="1520" w:right="260" w:hanging="500"/>
        <w:spacing w:after="0" w:line="255"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Based on the results of the challenge study, we now have an ongoing Phase 2b study of EDP-938, which is in adult outpatients with community-acquired RSV infection. This study, named RSVP, is designed to help us better understand the feasibility of this direct-acting antiviral therapy. The mitigation steps to manage the COVID-19 pandemic in the past year have suppressed the incidence of RSV and other respiratory illnesses globally (other than COVID-19). We have continued our preparedness efforts to ensure we are ready when RSV re-emerges, including establishing trial sites in North America, Europe, the Asia-Pacific and the Southern Hemisphere.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1060" w:right="40" w:hanging="500"/>
        <w:spacing w:after="0" w:line="251" w:lineRule="auto"/>
        <w:tabs>
          <w:tab w:leader="none" w:pos="106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We have two additional Phase 2 studies of EDP-938, the first of which is a Phase 2b study called RSVTx in adult hematopoietic cell transplant recipients with acute RSV infection and symptoms of upper respiratory tract infection, which we initiated in December 2020. We plan to enroll, within 72 hours of symptom onset, approximately 200 adult subjects 18 to 75 years of age, who will receive EDP-938 or placebo for 21 days. The primary endpoint is the incidence of lower respiratory tract complications within 28 days of enrollment, while secondary endpoints include change from baseline in RSV RNA viral load, safety and pharmacokinetics. In addition, we initiated a Phase 2 RSV study called RSVPEDs in pediatric patients in March 2021. We plan to enroll 90 RSV patients age 28 days to 24 months. The double-blind, placebo-controlled study will be conducted in hospitalized and non-hospitalized pediatric settings.</w:t>
      </w:r>
    </w:p>
    <w:p>
      <w:pPr>
        <w:spacing w:after="0" w:line="87" w:lineRule="exact"/>
        <w:rPr>
          <w:rFonts w:ascii="Courier New" w:cs="Courier New" w:eastAsia="Courier New" w:hAnsi="Courier New"/>
          <w:sz w:val="18"/>
          <w:szCs w:val="18"/>
          <w:color w:val="auto"/>
        </w:rPr>
      </w:pPr>
    </w:p>
    <w:p>
      <w:pPr>
        <w:jc w:val="both"/>
        <w:ind w:left="1060" w:right="60" w:hanging="500"/>
        <w:spacing w:after="0" w:line="254" w:lineRule="auto"/>
        <w:tabs>
          <w:tab w:leader="none" w:pos="106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We also have initiated an RSV L-protein inhibitor discovery effort centered around potent nanomolar leads active against both RSV-A and RSV-B, for potential use alone or in combination with agents targeting other RSV mechanisms, such as our lead RSV asset, EDP-938.</w:t>
      </w:r>
    </w:p>
    <w:p>
      <w:pPr>
        <w:spacing w:after="0" w:line="81" w:lineRule="exact"/>
        <w:rPr>
          <w:rFonts w:ascii="Courier New" w:cs="Courier New" w:eastAsia="Courier New" w:hAnsi="Courier New"/>
          <w:sz w:val="18"/>
          <w:szCs w:val="18"/>
          <w:color w:val="auto"/>
        </w:rPr>
      </w:pPr>
    </w:p>
    <w:p>
      <w:pPr>
        <w:jc w:val="both"/>
        <w:ind w:left="560" w:right="320" w:hanging="553"/>
        <w:spacing w:after="0" w:line="263"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We have two candidates for the treatment of chronic infection with hepatitis B virus, or HBV: EDP-514, a novel core inhibitor that displays potent anti-HBV activity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at multiple points in the HBV lifecycle, and EDP-721, our newest clinical candidate, which is a potent and selective oral HBV RNA destabilizer.</w:t>
      </w:r>
    </w:p>
    <w:p>
      <w:pPr>
        <w:spacing w:after="0" w:line="75" w:lineRule="exact"/>
        <w:rPr>
          <w:rFonts w:ascii="Arial" w:cs="Arial" w:eastAsia="Arial" w:hAnsi="Arial"/>
          <w:sz w:val="18"/>
          <w:szCs w:val="18"/>
          <w:color w:val="auto"/>
        </w:rPr>
      </w:pPr>
    </w:p>
    <w:p>
      <w:pPr>
        <w:ind w:left="1060" w:right="20" w:hanging="500"/>
        <w:spacing w:after="0" w:line="252" w:lineRule="auto"/>
        <w:tabs>
          <w:tab w:leader="none" w:pos="106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Our initial study of EDP-514 was a randomized, double-blind, placebo-controlled Phase 1a/1b study designed in two parts. In February 2020, we announced positive results from Part 1 of the Phase 1a/b clinical study in healthy subjects, which demonstrated that EDP-514 was well-tolerated with a favorable safety profile, and demonstrated a pharmacokinetic profile supportive of once daily dosing.</w:t>
      </w:r>
    </w:p>
    <w:p>
      <w:pPr>
        <w:spacing w:after="0" w:line="85" w:lineRule="exact"/>
        <w:rPr>
          <w:rFonts w:ascii="Courier New" w:cs="Courier New" w:eastAsia="Courier New" w:hAnsi="Courier New"/>
          <w:sz w:val="18"/>
          <w:szCs w:val="18"/>
          <w:color w:val="auto"/>
        </w:rPr>
      </w:pPr>
    </w:p>
    <w:p>
      <w:pPr>
        <w:ind w:left="1060" w:right="200" w:hanging="500"/>
        <w:spacing w:after="0" w:line="252" w:lineRule="auto"/>
        <w:tabs>
          <w:tab w:leader="none" w:pos="106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In Part 2 of the study, we are studying EDP-514 in chronic HBV patients already being treated with a marketed nucleoside reverse transcriptase inhibitor, which we refer to as NUC-suppressed patients. Preliminary data show that the 200mg and 400mg doses were safe and well tolerated, with pharmacokinetics supportive of once daily dosing, and antiviral activity as expected for this class in a short study. The final 800mg cohort of this study is ongoing.</w:t>
      </w:r>
    </w:p>
    <w:p>
      <w:pPr>
        <w:spacing w:after="0" w:line="85" w:lineRule="exact"/>
        <w:rPr>
          <w:rFonts w:ascii="Courier New" w:cs="Courier New" w:eastAsia="Courier New" w:hAnsi="Courier New"/>
          <w:sz w:val="18"/>
          <w:szCs w:val="18"/>
          <w:color w:val="auto"/>
        </w:rPr>
      </w:pPr>
    </w:p>
    <w:p>
      <w:pPr>
        <w:ind w:left="1060" w:right="20" w:hanging="500"/>
        <w:spacing w:after="0" w:line="254" w:lineRule="auto"/>
        <w:tabs>
          <w:tab w:leader="none" w:pos="106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In addition, we have a second Phase 1b study, which we initiated in July 2020, to evaluate EDP 514 in chronic HBV patients with high viral load not currently on treatment, which we refer to as viremic patients. We expect to have topline results for both of these studies later in the second calendar quarter of 2021.</w:t>
      </w:r>
    </w:p>
    <w:p>
      <w:pPr>
        <w:spacing w:after="0" w:line="82" w:lineRule="exact"/>
        <w:rPr>
          <w:sz w:val="20"/>
          <w:szCs w:val="20"/>
          <w:color w:val="auto"/>
        </w:rPr>
      </w:pPr>
    </w:p>
    <w:p>
      <w:pPr>
        <w:ind w:left="1040" w:right="80" w:hanging="466"/>
        <w:spacing w:after="0" w:line="289" w:lineRule="auto"/>
        <w:tabs>
          <w:tab w:leader="none" w:pos="1040" w:val="left"/>
        </w:tabs>
        <w:numPr>
          <w:ilvl w:val="1"/>
          <w:numId w:val="17"/>
        </w:numPr>
        <w:rPr>
          <w:rFonts w:ascii="Courier New" w:cs="Courier New" w:eastAsia="Courier New" w:hAnsi="Courier New"/>
          <w:sz w:val="16"/>
          <w:szCs w:val="16"/>
          <w:color w:val="auto"/>
        </w:rPr>
      </w:pPr>
      <w:r>
        <w:rPr>
          <w:rFonts w:ascii="Arial" w:cs="Arial" w:eastAsia="Arial" w:hAnsi="Arial"/>
          <w:sz w:val="16"/>
          <w:szCs w:val="16"/>
          <w:color w:val="auto"/>
        </w:rPr>
        <w:t>We expect to initiate a Phase 1 clinical study of EDP-721 in mid-calendar year 2021. EDP-721 has demonstrated a robust reduction of viral transcripts in preclinical models, leading to reduced production of multiple HBV proteins, including HBV surface antigen (HBsAg) and e-antigen (HBeAg). EDP-721 is expected to reduce HBsAg derived from both integrated and covalently-closed circular DNA (cccDNA). Since high levels of HBsAg suppress immune responses through multiple mechanisms, a sustained reduction of HBsAg is regarded as a key component of a functional cure for HBV. We plan to develop EDP-721 for use alone or in combination with other mechanisms, such as EDP-514, with the ultimate goal of achieving an all-oral functional cure for chronic HBV infection.</w:t>
      </w:r>
    </w:p>
    <w:p>
      <w:pPr>
        <w:spacing w:after="0" w:line="57" w:lineRule="exact"/>
        <w:rPr>
          <w:rFonts w:ascii="Courier New" w:cs="Courier New" w:eastAsia="Courier New" w:hAnsi="Courier New"/>
          <w:sz w:val="16"/>
          <w:szCs w:val="16"/>
          <w:color w:val="auto"/>
        </w:rPr>
      </w:pPr>
    </w:p>
    <w:p>
      <w:pPr>
        <w:ind w:left="540" w:right="60" w:hanging="493"/>
        <w:spacing w:after="0" w:line="279"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COVID-19</w:t>
      </w:r>
      <w:r>
        <w:rPr>
          <w:rFonts w:ascii="Arial" w:cs="Arial" w:eastAsia="Arial" w:hAnsi="Arial"/>
          <w:sz w:val="17"/>
          <w:szCs w:val="17"/>
          <w:color w:val="auto"/>
        </w:rPr>
        <w:t>: Since we announced our newest discovery program for the treatment of COVID-19, we have been leveraging our expertise in direct-acting antiviral mechanisms to discover new compounds to treat COVID-19, using a combination of screening and targeted drug design. Later in the second quarter of calendar 2021 we expect to initiate IND-enabling studies on our first oral protease inhibitor specifically designed to target SARS-CoV-2, with the goal of beginning a Phase 1 study in early calendar 2022.</w:t>
      </w:r>
    </w:p>
    <w:p>
      <w:pPr>
        <w:spacing w:after="0" w:line="63" w:lineRule="exact"/>
        <w:rPr>
          <w:rFonts w:ascii="Arial" w:cs="Arial" w:eastAsia="Arial" w:hAnsi="Arial"/>
          <w:sz w:val="17"/>
          <w:szCs w:val="17"/>
          <w:color w:val="auto"/>
        </w:rPr>
      </w:pPr>
    </w:p>
    <w:p>
      <w:pPr>
        <w:ind w:left="540" w:right="380" w:hanging="493"/>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hMPV</w:t>
      </w:r>
      <w:r>
        <w:rPr>
          <w:rFonts w:ascii="Arial" w:cs="Arial" w:eastAsia="Arial" w:hAnsi="Arial"/>
          <w:sz w:val="18"/>
          <w:szCs w:val="18"/>
          <w:color w:val="auto"/>
        </w:rPr>
        <w:t>: Since announcing our new drug discovery effort for hMPV in January 2020, we have been optimizing nanomolar inhibitor leads against this virus and are working toward identifying our first clinical candidate for this indication.</w:t>
      </w:r>
    </w:p>
    <w:p>
      <w:pPr>
        <w:spacing w:after="0" w:line="62" w:lineRule="exact"/>
        <w:rPr>
          <w:rFonts w:ascii="Arial" w:cs="Arial" w:eastAsia="Arial" w:hAnsi="Arial"/>
          <w:sz w:val="18"/>
          <w:szCs w:val="18"/>
          <w:color w:val="auto"/>
        </w:rPr>
      </w:pPr>
    </w:p>
    <w:p>
      <w:pPr>
        <w:ind w:left="540" w:right="240" w:hanging="493"/>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NASH:</w:t>
      </w:r>
      <w:r>
        <w:rPr>
          <w:rFonts w:ascii="Arial" w:cs="Arial" w:eastAsia="Arial" w:hAnsi="Arial"/>
          <w:sz w:val="18"/>
          <w:szCs w:val="18"/>
          <w:color w:val="auto"/>
        </w:rPr>
        <w:t xml:space="preserve"> We currently have two compounds in clinical development for NASH: EDP-305 and EDP-297, referred to as FXR agonists. These compounds, which selectively bind to and activate the Farnesoid X receptor, or FXR, represent a class of FXR agonists designed to take advantage of increased binding interactions with this receptor.</w:t>
      </w:r>
    </w:p>
    <w:p>
      <w:pPr>
        <w:spacing w:after="0" w:line="75" w:lineRule="exact"/>
        <w:rPr>
          <w:rFonts w:ascii="Arial" w:cs="Arial" w:eastAsia="Arial" w:hAnsi="Arial"/>
          <w:sz w:val="18"/>
          <w:szCs w:val="18"/>
          <w:color w:val="auto"/>
        </w:rPr>
      </w:pPr>
    </w:p>
    <w:p>
      <w:pPr>
        <w:ind w:left="1060" w:right="100" w:hanging="500"/>
        <w:spacing w:after="0" w:line="286"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7"/>
          <w:szCs w:val="17"/>
          <w:color w:val="auto"/>
        </w:rPr>
        <w:t>In July 2020 we initiated ARGON-2, a 72-week, Phase 2b, randomized, double-blind, placebo-controlled study, with histological endpoints, including fibrosis in 340 biopsy-confirmed NASH patients treated with EDP-305 or placebo. We are using EDP-305 doses of 1.5 mg and 2.0 mg, which we believe will favorably balance strong, efficacious target engagement with tolerability.</w:t>
      </w:r>
    </w:p>
    <w:p>
      <w:pPr>
        <w:spacing w:after="0" w:line="57" w:lineRule="exact"/>
        <w:rPr>
          <w:rFonts w:ascii="Arial" w:cs="Arial" w:eastAsia="Arial" w:hAnsi="Arial"/>
          <w:sz w:val="18"/>
          <w:szCs w:val="18"/>
          <w:color w:val="auto"/>
        </w:rPr>
      </w:pPr>
    </w:p>
    <w:p>
      <w:pPr>
        <w:ind w:left="1060" w:hanging="500"/>
        <w:spacing w:after="0" w:line="25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September 2020, we initiated a Phase 1 clinical study of EDP-297, a highly potent and targeted follow-on FXR agonist, being developed for the treatment of NASH. The Phase 1, randomized, double-blind, placebo-controlled, first-in-human study is designed to assess the safety, tolerability, and pharmacokinetics, including the effect of food intake, of orally administered EDP-297 in approximately 74 healthy adult subjects. Two phases are planned: a single ascending dose phase enrolling six cohorts, including a two-part food effect cohort, and a multiple ascending</w:t>
      </w:r>
    </w:p>
    <w:p>
      <w:pPr>
        <w:spacing w:after="0" w:line="18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80" w:top="449" w:right="339" w:bottom="1440" w:gutter="0" w:footer="0" w:header="0"/>
        </w:sectPr>
      </w:pPr>
    </w:p>
    <w:bookmarkStart w:id="18" w:name="page19"/>
    <w:bookmarkEnd w:id="18"/>
    <w:p>
      <w:pPr>
        <w:ind w:left="1520" w:right="200"/>
        <w:spacing w:after="0" w:line="277" w:lineRule="auto"/>
        <w:rPr>
          <w:sz w:val="20"/>
          <w:szCs w:val="20"/>
          <w:color w:val="auto"/>
        </w:rPr>
      </w:pPr>
      <w:r>
        <w:rPr>
          <w:rFonts w:ascii="Arial" w:cs="Arial" w:eastAsia="Arial" w:hAnsi="Arial"/>
          <w:sz w:val="18"/>
          <w:szCs w:val="18"/>
          <w:color w:val="auto"/>
        </w:rPr>
        <w:t>dose phase enrolling three cohorts. Subject to any future adverse impact of the COVID-19 pandemic, we expect to have preliminary data from this study in mid-calendar 2021.</w:t>
      </w:r>
    </w:p>
    <w:p>
      <w:pPr>
        <w:spacing w:after="0" w:line="62" w:lineRule="exact"/>
        <w:rPr>
          <w:sz w:val="20"/>
          <w:szCs w:val="20"/>
          <w:color w:val="auto"/>
        </w:rPr>
      </w:pPr>
    </w:p>
    <w:p>
      <w:pPr>
        <w:ind w:left="1520" w:right="60" w:hanging="500"/>
        <w:spacing w:after="0" w:line="275" w:lineRule="auto"/>
        <w:tabs>
          <w:tab w:leader="none" w:pos="1520" w:val="left"/>
        </w:tabs>
        <w:numPr>
          <w:ilvl w:val="0"/>
          <w:numId w:val="18"/>
        </w:numPr>
        <w:rPr>
          <w:rFonts w:ascii="Courier New" w:cs="Courier New" w:eastAsia="Courier New" w:hAnsi="Courier New"/>
          <w:sz w:val="17"/>
          <w:szCs w:val="17"/>
          <w:color w:val="auto"/>
        </w:rPr>
      </w:pPr>
      <w:r>
        <w:rPr>
          <w:rFonts w:ascii="Arial" w:cs="Arial" w:eastAsia="Arial" w:hAnsi="Arial"/>
          <w:sz w:val="17"/>
          <w:szCs w:val="17"/>
          <w:color w:val="auto"/>
        </w:rPr>
        <w:t>We also expect that ARGON-2 will provide us an internal interim analysis at 12 weeks of treatment on a subset of patients in the third calendar quarter of this year, at which point we expect to have more information to enhance our ability to determine what dose or doses we move forward through partnering for potential combinations with other mechanisms for NASH with fibrosis.</w:t>
      </w:r>
    </w:p>
    <w:p>
      <w:pPr>
        <w:spacing w:after="0" w:line="66" w:lineRule="exact"/>
        <w:rPr>
          <w:rFonts w:ascii="Courier New" w:cs="Courier New" w:eastAsia="Courier New" w:hAnsi="Courier New"/>
          <w:sz w:val="17"/>
          <w:szCs w:val="17"/>
          <w:color w:val="auto"/>
        </w:rPr>
      </w:pPr>
    </w:p>
    <w:p>
      <w:pPr>
        <w:ind w:left="1520" w:right="240" w:hanging="500"/>
        <w:spacing w:after="0" w:line="259" w:lineRule="auto"/>
        <w:tabs>
          <w:tab w:leader="none" w:pos="152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Once we have data from these two studies, we expect to be positioned to prioritize our NASH clinical assets and define our optimal go-forward strategy.</w:t>
      </w:r>
    </w:p>
    <w:p>
      <w:pPr>
        <w:spacing w:after="0" w:line="76" w:lineRule="exact"/>
        <w:rPr>
          <w:rFonts w:ascii="Courier New" w:cs="Courier New" w:eastAsia="Courier New" w:hAnsi="Courier New"/>
          <w:sz w:val="18"/>
          <w:szCs w:val="18"/>
          <w:color w:val="auto"/>
        </w:rPr>
      </w:pPr>
    </w:p>
    <w:p>
      <w:pPr>
        <w:ind w:left="1520" w:right="60" w:hanging="500"/>
        <w:spacing w:after="0" w:line="259" w:lineRule="auto"/>
        <w:tabs>
          <w:tab w:leader="none" w:pos="152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In addition, we have been pursuing research in another mechanism that may provide therapeutic benefit in NASH and which might be used in combination with an FXR agonist or other therapies for NASH.</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liver disease and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172200" cy="2863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Royalty Revenue Collaboration</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Glecaprevir is the protease inhibitor we discovered that was developed by AbbVie in a fixed-dose combination with its NS5A inhibitor, pibrentasvir, for the treatment of HCV. This patented combination, currently marketed under the brand names MAVYRET</w:t>
      </w:r>
      <w:r>
        <w:rPr>
          <w:rFonts w:ascii="Arial" w:cs="Arial" w:eastAsia="Arial" w:hAnsi="Arial"/>
          <w:sz w:val="15"/>
          <w:szCs w:val="15"/>
          <w:color w:val="auto"/>
        </w:rPr>
        <w:t>®</w:t>
      </w:r>
      <w:r>
        <w:rPr>
          <w:rFonts w:ascii="Arial" w:cs="Arial" w:eastAsia="Arial" w:hAnsi="Arial"/>
          <w:sz w:val="18"/>
          <w:szCs w:val="18"/>
          <w:color w:val="auto"/>
        </w:rPr>
        <w:t xml:space="preserve"> (U.S.) and MAVIRET</w:t>
      </w:r>
      <w:r>
        <w:rPr>
          <w:rFonts w:ascii="Arial" w:cs="Arial" w:eastAsia="Arial" w:hAnsi="Arial"/>
          <w:sz w:val="15"/>
          <w:szCs w:val="15"/>
          <w:color w:val="auto"/>
        </w:rPr>
        <w:t>®</w:t>
      </w:r>
      <w:r>
        <w:rPr>
          <w:rFonts w:ascii="Arial" w:cs="Arial" w:eastAsia="Arial" w:hAnsi="Arial"/>
          <w:sz w:val="18"/>
          <w:szCs w:val="18"/>
          <w:color w:val="auto"/>
        </w:rPr>
        <w:t xml:space="preserve"> (ex-U.S.), is referred to in this report as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current COVID-19 pandemic has presented substantial challenges for public health and economies around the world, and it is affecting our clinical trials, our royalty revenues received from AbbVie, and our business operations. The full extent to which the COVID-19 pandemic will directly or indirectly impact our business, results of operations and financial condition will depend 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ind w:right="140"/>
        <w:spacing w:after="0" w:line="311" w:lineRule="auto"/>
        <w:rPr>
          <w:sz w:val="20"/>
          <w:szCs w:val="20"/>
          <w:color w:val="auto"/>
        </w:rPr>
      </w:pPr>
      <w:r>
        <w:rPr>
          <w:rFonts w:ascii="Arial" w:cs="Arial" w:eastAsia="Arial" w:hAnsi="Arial"/>
          <w:sz w:val="16"/>
          <w:szCs w:val="16"/>
          <w:color w:val="auto"/>
        </w:rPr>
        <w:t>future developments that are highly uncertain and cannot be accurately predicted, including new information that may emerge concerning COVID-19 and public health actions taken to contain it and the roll out of vaccinations worldwide, as well as the cumulative economic impact of all of these factors. Additionally, as new, more infectious variants emerge, it is possible that the impact of the pandemic on our business may increase or lengthen in duration.</w:t>
      </w:r>
    </w:p>
    <w:p>
      <w:pPr>
        <w:spacing w:after="0" w:line="4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are continuing to assess the potential impact of the COVID-19 pandemic on our business and operations, including our expenses, clinical trials and royalty revenues. The majority of our employees have continued to work from home since March 2020, while scientific personnel have been working in our laboratories, on a shift basis, since May 2020.</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third-party contract manufacturing partners continue to operate at or near normal levels producing drug substance and drug product for our research and clinical development programs, so we currently do not anticipate any material interruptions in our supply chain, but it is possible that may change. We paused enrollment in two of our ongoing clinical trials, ARGON-2 and our HBV nuc-suppressed study, in March 2020 and resumed recruiting in these studies in July 2020. Also, the mitigation steps to manage the COVID-19 pandemic in the past year have suppressed the global incidence of RSV and respiratory illnesses other than COVID-19, which has adversely affected enrollment in our RSVP study. It is currently uncertain when RSV will re-emerge and become prevalent across a substantial portion of these regions covered by our trial sites in North America, Europe, the Asia-Pacific and the Southern Hemisphere. We also continue to experience a variety of more minor interruptions and complications in our other clinical trials, such as limitations in clinical trial supplies other than drug product, as well as local changes in COVID-19 impacts at individual trial sites. Due to these interruptions, particularly in North America and Europe, we expect to have the internal interim analysis of the ARGON-2 study in the third calendar quarter of 2021. While our ongoing trials are proceeding and we are continuing with plans to initiate additional clinical trials in calendar 2021, it is unclear what impact, if any, the COVID-19 pandemic may have on the timeline for initiation and/or completion of all or any of our other clinical trials.</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With regard to our royalty revenue, we continued to report lower royalty revenue reported during our fiscal 2021 as compared to the prior year due to the worldwide impact of COVID-19 on HCV sales driven by a decline in patient volumes, HCV diagnoses and HCV prescriptions of MAVYRET/MAVIRET. While the evolving impact of COVID-19 will likely continue to affect aspects of our business, including those described above, we remain capable of funding our research and development programs for the foreseeable future with the current level of royalty revenue and our existing cash and short-term and long-term investments, which totaled $400.4 million at March 31, 2021.</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see Item 1A “Risk Factors” in this quarterly report for additional discussion of risks and potential risks of the COVID-19 pandemic on our business,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currently funding all research and development for our wholly-owned programs, which are targeted toward the discovery and development of novel compounds for the treatment of viral infections and liver diseases. We have four Phase 2 studies ongoing for our wholly-owned programs in RSV and NASH and three Phase 1 studies in our HBV and NASH programs. We also plan to initiate clinical investigation of our new HBV RNA destabilizer compound, EDP-721, by mid-calendar 2021. In addition, we are also progressing other compounds in preclinical development, with the goal of having two new clinical candidates identified out of our three respiratory discovery efforts by the end of calendar 2021.</w:t>
      </w:r>
    </w:p>
    <w:p>
      <w:pPr>
        <w:spacing w:after="0" w:line="6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During 2021, we experienced disruptions in our business due to the spread of COVID-19. Specifically, the rate of RSV infection in both the Northern and Southern Hemispheres has been suppressed due to COVID-19 mitigation measures. In order to offset this as the RSV season swings back to the Northern Hemisphere, we reactivated sites in North America and are establishing sites in several countries in Europe, the Asia-Pacific and the Southern Hemisphere in preparation for the re-emergence of RSV. Due to COVID-19 mitigation measures, the timing of when RSV will become prevalent is currently unknown.</w:t>
      </w:r>
    </w:p>
    <w:p>
      <w:pPr>
        <w:spacing w:after="0" w:line="4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As a result of our clinical development programs, as well as efforts to advance other compounds into preclinical development, we expect to incur greater expenses in fiscal 2021 than in 2020 as we continue to advance our RSV, NASH, HBV, hMPV, and SARS CoV-2 programs. However, if the COVID-19 pandemic slows down our research and development programs, it will reduce our spending in those areas in the near term.</w:t>
      </w:r>
    </w:p>
    <w:p>
      <w:pPr>
        <w:spacing w:after="0" w:line="5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funding our operations primarily through royalty payments received under our collaboration agreement with AbbVie and our existing cash, cash equivalents, and short-term and long-term marketable securities. Our revenue is currently dependent on royalty payments we receive from AbbVie on its sales of MAVYRET/MAVIRET. During 2020 and into 2021, royalty revenues declined as compared to the prior year due primarily to the worldwide impact of COVID-19 on treated patient volumes as well as competitive pricing pressures in select markets. Given the uncertainty regarding the level of AbbVie’s future MAVYRET/MAVIRET sales that will generate our royalty revenue as well as increases in our future expenditures for the advancement of our internally developed compounds, we expect our expenses will exceed our revenues in fiscal 2021.</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1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 our internal product candidates are currently in Phase 1 or Phase 2 clinical development, we have not generated any revenue from our own product sales. We do not expect to generate any revenue from product sales derived from these product candidates for at least the next several years.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and six months ended March 31, 2021 and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41,506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78,171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65,388</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15,703</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13,805</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49,832</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39,494</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93,874</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79,193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6" w:lineRule="exact"/>
        <w:rPr>
          <w:sz w:val="20"/>
          <w:szCs w:val="20"/>
          <w:color w:val="auto"/>
        </w:rPr>
      </w:pPr>
    </w:p>
    <w:p>
      <w:pPr>
        <w:ind w:left="1000" w:right="7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212529"/>
        </w:rPr>
        <w:t>personnel costs, including salaries, related benefits and stock-based compensation for employees engaged in scientific research and development functions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laboratory consumables;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allocated facility-related costs;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research and development programs.</w:t>
      </w:r>
    </w:p>
    <w:p>
      <w:pPr>
        <w:spacing w:after="0" w:line="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research and drug discovery and development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particularly in the context of the COVID-19 pandemic,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ind w:right="80"/>
        <w:spacing w:after="0" w:line="342" w:lineRule="auto"/>
        <w:rPr>
          <w:sz w:val="20"/>
          <w:szCs w:val="20"/>
          <w:color w:val="auto"/>
        </w:rPr>
      </w:pPr>
      <w:r>
        <w:rPr>
          <w:rFonts w:ascii="Arial" w:cs="Arial" w:eastAsia="Arial" w:hAnsi="Arial"/>
          <w:sz w:val="16"/>
          <w:szCs w:val="16"/>
          <w:color w:val="auto"/>
        </w:rPr>
        <w:t>We expect that general and administrative expenses will increase in the future primarily due to the ongoing expansion of our operating activities in support of our own research and development programs, as well as potential additional costs associated with operating a growing publicly traded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Other income (expense), net consists of interest income, interest expense and the change in fair value of our outstanding Series 1 nonconvertible preferred stock. Interest income consists of interest earned on our cash equivalents and short-term and long-term marketable securities balances as well as interest earned for any refunds received from tax authorities.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Income tax (expense) benefit is based on our best estimate of applicable income tax rates, net research and development tax credits, net operating loss carryforwards and deferred income taxes, for the entire fiscal year applied to pre-tax profit or loss reported for the year-to-date period, except when a reliable estimate of the annual effective tax rate cannot be made and we instead use the year-to-date effective tax rate.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78"/>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6"/>
        </w:trPr>
        <w:tc>
          <w:tcPr>
            <w:tcW w:w="3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left="37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20,132</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27,619</w:t>
            </w:r>
          </w:p>
        </w:tc>
        <w:tc>
          <w:tcPr>
            <w:tcW w:w="8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41,506</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32,610</w:t>
            </w:r>
          </w:p>
        </w:tc>
        <w:tc>
          <w:tcPr>
            <w:tcW w:w="80" w:type="dxa"/>
            <w:vAlign w:val="bottom"/>
          </w:tcPr>
          <w:p>
            <w:pPr>
              <w:spacing w:after="0"/>
              <w:rPr>
                <w:sz w:val="19"/>
                <w:szCs w:val="19"/>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8,326</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80" w:type="dxa"/>
            <w:vAlign w:val="bottom"/>
            <w:shd w:val="clear" w:color="auto" w:fill="CFF0FC"/>
          </w:tcPr>
          <w:p>
            <w:pPr>
              <w:spacing w:after="0"/>
              <w:rPr>
                <w:sz w:val="19"/>
                <w:szCs w:val="19"/>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660" w:type="dxa"/>
            <w:vAlign w:val="bottom"/>
            <w:shd w:val="clear" w:color="auto" w:fill="CFF0FC"/>
          </w:tcPr>
          <w:p>
            <w:pPr>
              <w:spacing w:after="0"/>
              <w:rPr>
                <w:sz w:val="19"/>
                <w:szCs w:val="19"/>
                <w:color w:val="auto"/>
              </w:rPr>
            </w:pPr>
          </w:p>
        </w:tc>
        <w:tc>
          <w:tcPr>
            <w:tcW w:w="260" w:type="dxa"/>
            <w:vAlign w:val="bottom"/>
            <w:shd w:val="clear" w:color="auto" w:fill="CFF2FC"/>
          </w:tcPr>
          <w:p>
            <w:pPr>
              <w:spacing w:after="0"/>
              <w:rPr>
                <w:sz w:val="19"/>
                <w:szCs w:val="19"/>
                <w:color w:val="auto"/>
              </w:rPr>
            </w:pPr>
          </w:p>
        </w:tc>
        <w:tc>
          <w:tcPr>
            <w:tcW w:w="9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7,110</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8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Our revenue consists of royalties received under our collaboration agreement with AbbVie, substantially all of which are now derived from sales of MAVYRET/MAVIRET. We are entitled to annually tiered, double-digit, per-product royalties on 50% of all net sales of MAVYRET/MAVIRET. Our royalty revenues eligible to be earned in the future will potentially fluctuate depending on AbbVie’s HCV market share, the pricing of the MAVYRET/MAVIRET regimen and the number of patients treated with that regimen. Beginning with each January 1, the cumulative net sales of each royalty-bearing product start at zero for purposes of calculating the tiered royalties on a product-by-product basis.</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recognized royalty revenue of $20.1 million during the three months ended March 31, 2021 as compared to $27.6 million during the three months ended March 31, 2020. The $7.5 million decrease in royalty revenue was due to lower patient volumes as a result of treated HCV patient volumes continuing to remain below pre-COVID levels. AbbVie reported worldwide net sales of $415 million for MAVRYET/MAVIRET during the three months ended March 31, 2021 compared to $559 million in the prior year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center"/>
              <w:ind w:left="37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1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Virology</w:t>
            </w:r>
          </w:p>
        </w:tc>
        <w:tc>
          <w:tcPr>
            <w:tcW w:w="2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29,881</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19,644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Liver disease (non-viral)</w:t>
            </w:r>
          </w:p>
        </w:tc>
        <w:tc>
          <w:tcPr>
            <w:tcW w:w="1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10,888</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6"/>
              </w:rPr>
              <w:t>Total research and development expenses</w:t>
            </w:r>
          </w:p>
        </w:tc>
        <w:tc>
          <w:tcPr>
            <w:tcW w:w="1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41,506</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32,610</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20" w:type="dxa"/>
            <w:vAlign w:val="bottom"/>
            <w:vMerge w:val="restart"/>
          </w:tcPr>
          <w:p>
            <w:pPr>
              <w:jc w:val="right"/>
              <w:ind w:right="1250"/>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line="272" w:lineRule="auto"/>
        <w:rPr>
          <w:sz w:val="20"/>
          <w:szCs w:val="20"/>
          <w:color w:val="auto"/>
        </w:rPr>
      </w:pPr>
      <w:r>
        <w:rPr>
          <w:rFonts w:ascii="Arial" w:cs="Arial" w:eastAsia="Arial" w:hAnsi="Arial"/>
          <w:sz w:val="17"/>
          <w:szCs w:val="17"/>
          <w:color w:val="auto"/>
        </w:rPr>
        <w:t>The level of research and development expenses for the three months ended March 31, 2021 increased by $8.9 million compared to the same period in 2020. The increase was primarily driven by the timing of our clinical studies in our virology programs and offset by a decrease in clinical trial expenses in our liver disease program. For our virology program, we had two Phase 1b studies of EDP-514 in chronic HBV and three ongoing Phase 2 studies of EDP-938 in RSV during the three months ended March 31, 2021. In the prior year, we had our clinical study of EDP-514 in a Phase 1a study and our ongoing Phase 2 RSVP study of EDP-938. For our liver disease program during the three months ended March 31, 2021 we had our Phase 2 ongoing study (ARGON-2) of EDP-305 and our Phase 1 study of our FXR follow-on candidate, EDP-297, whereas in 2020 we had one Phase 2 study of EDP-305 ongoing (ARGON-1) and were in the process of concluding our Phase 2 INTREPID study.</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near term, our clinical trial expenses could fluctuate if the impact of the COVID-19 pandemic continues through calendar 2021 and negatively impacts patient recruitment and monitoring. Furthermore, COVID-19 could also cause delays in our other studies we plan to initiate later in 2021. In the coming years, we expect our research and development expenses to increase as our wholly-owned programs advance, subject to any long-term impact of the COVID-19 pandemic.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General and administrative expenses increased by $1.4 million for the three months ended March 31, 2021 compared to the prior year due to increases in headcount and compensation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Other income (expense), net, decreased $1.4 million for the three months ended March 31, 2021 as compared to the same period in 2020 due to a net decrease in investment income primarily driven by lower interest rates year over year and purchases of marketable securities at a premium.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three months ended March 31, 2021 and 2020, we recorded an income tax benefit of $7.1 million and $3.9 million, respectively. The income tax benefit for the three months ended March 31, 2021 was driven primarily by our pre-tax loss and a federal net operating loss carryback under the CARES Act. We continue to record a valuation allowance against substantially all of our deferred tax assets as it is more likely than not that those tax benefits will not be realized in the future. The income tax benefit for the three months ended March 31, 2020 was driven by our pre-tax loss and federal research and development tax credits.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March 31, 2021 and 2020</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4"/>
          </w:tcPr>
          <w:p>
            <w:pPr>
              <w:jc w:val="center"/>
              <w:ind w:right="34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92"/>
              </w:rPr>
              <w:t>March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51,875</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80,189</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78,171</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65,388</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15,703</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13,805</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1,222</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4,026</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10,404</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8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recognized royalty revenue of $51.9 million during the six months ended March 31, 2021 as compared to $80.2 million during the six months ended March 31, 2020. Royalty revenue for the six months ended March 31, 2021 decreased $28.3 million compared to the comparable period in 2020 due to lower patient volumes as a result of treated HCV patient volumes continuing to remain below pre-COVID levels. AbbVie reported worldwide net sales of $896 million for MAVRYET/MAVIRET during the six months ended March 31, 2021 compared to $1.2 billion in the prior year period.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3" w:name="page24"/>
    <w:bookmarkEnd w:id="23"/>
    <w:tbl>
      <w:tblPr>
        <w:tblLayout w:type="fixed"/>
        <w:tblInd w:w="170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223"/>
        </w:trPr>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89"/>
              </w:rPr>
              <w:t>(in thousands)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Virology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54,469</w:t>
            </w:r>
          </w:p>
        </w:tc>
        <w:tc>
          <w:tcPr>
            <w:tcW w:w="1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38,879</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Liver disease (non-viral)</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22,085</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26,083</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8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78,171</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65,388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level of research and development expenses for the six months ended March 31, 2021 increased by $12.8 million compared to the same period in 2020. The increase was primarily driven by timing of our clinical studies in our virology programs and offset by a decrease in clinical trial expenses in our liver disease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General and administrative expenses increased by $1.9 million for the six months ended March 31, 2021 compared to the prior year due to increases in headcount and compensation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Other income (expense), net, decreased $2.8 million for the six months ended March 31, 2021 as compared to the same period in 2020 due to a net decrease in investment income primarily driven by lower interest rates year over year and purchases of marketable securities at a premium.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six months ended March 31, 2021 and 2020 we recorded an income tax benefit of $10.4 million and $2.4 million, respectively. The income tax benefit for the six months ended March 31, 2021 was driven primarily by our pre-tax loss and a federal net operating loss carryback under the CARES Act. An income tax benefit was recorded during the six months ended March 31, 2020 due to our lower pre-tax loss, federal research and development tax credits, release of an uncertain tax liability and stock award-related activity.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At March 31, 2021, our principal sources of liquidity were cash, cash equivalents and short-term and long-term marketable securities totaling $400.4 million. We believe, despite the ongoing global impact of COVID-19, that our principal sources of liquidity will be sufficient to meet our anticipated cash requirements for the foreseeable future.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six months ended March 31,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4"/>
          </w:tcPr>
          <w:p>
            <w:pPr>
              <w:jc w:val="center"/>
              <w:ind w:left="43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by (used in):</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20" w:type="dxa"/>
            <w:vAlign w:val="bottom"/>
          </w:tcPr>
          <w:p>
            <w:pPr>
              <w:ind w:left="4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(19,469)</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27,037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(9,453)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22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2"/>
              </w:rPr>
              <w:t>Net increase (decrease) in cash, cash equivalents and restricted</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(10,005)</w:t>
            </w: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20" w:type="dxa"/>
            <w:vAlign w:val="bottom"/>
            <w:tcBorders>
              <w:top w:val="single" w:sz="8" w:color="CFF0FC"/>
              <w:bottom w:val="single" w:sz="8" w:color="CFF0FC"/>
            </w:tcBorders>
            <w:vMerge w:val="restart"/>
          </w:tcPr>
          <w:p>
            <w:pPr>
              <w:ind w:left="3840"/>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1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increase in cash used in operating activities of $46.5 million for the six months ended March 31, 2021 as compared to the same period in 2020 was primarily driven by a decrease in net income year-over-year and net cash used by changes in our operating assets and liabilities of $0.7 million in the six months ended March 31, 2021 as compared to net cash provided by changes in our operating assets and liabilities of $11.7 million for the same period in 2020. Changes in our operating assets and liabilities year over year was generally due to a decrease in payments received under our collaboration with AbbVie, the advancement of our research programs and the timing of vendor invoicing and payments.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of $17.5 million in cash provided by investing activities for the six months ended March 31, 2021 as compared to the same period in 2020 was the result of the timing of purchases, sales and maturities of marketable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decrease of $4.1 million in net cash provided by financing activities for the six months ended March 31, 2021 as compared to the same period in 2020 was driven by a decrease in proceeds from exercises of stock options of $5.0 million and offset by a decrease in withholding tax payments for the settlement of share-based awards of $1.0 million driven by a decline in our stock price year over year at the time of vesting of certain share-based awards.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31, 2021, we had $400.4 million in cash, cash equivalents and short-term and long-term marketable securities. We believe that our existing cash, cash equivalents and marketable securities as of March 31, 2021 will be sufficient to meet our anticipated cash requirements for the foreseeable future. However, our forecast of the period for which our financial resources will be adequate to support our operations is a forward-looking statement that involves risks and uncertainties, and actual results could vary materially.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royalties generated from our existing collaboration with AbbVie;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continuing impact of the COVID-19 pandemic on the numbers of treated HCV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44"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58"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of our product candidates as a result of the COVID-19 pandemic</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212529"/>
        </w:rPr>
        <w:t>the cost of manufacturing our product candidates for clinical development and any products we successfully commercialize independently</w:t>
      </w:r>
      <w:r>
        <w:rPr>
          <w:rFonts w:ascii="Arial" w:cs="Arial" w:eastAsia="Arial" w:hAnsi="Arial"/>
          <w:sz w:val="16"/>
          <w:szCs w:val="16"/>
          <w:color w:val="000000"/>
        </w:rPr>
        <w:t>;</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timing of, </w:t>
      </w:r>
      <w:r>
        <w:rPr>
          <w:rFonts w:ascii="Arial" w:cs="Arial" w:eastAsia="Arial" w:hAnsi="Arial"/>
          <w:sz w:val="18"/>
          <w:szCs w:val="18"/>
          <w:color w:val="212529"/>
        </w:rPr>
        <w:t>and the costs involved in, obtaining regulatory approvals for any product candidates we develop independently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the cost of commercialization activities, if any, of any product candidates we develop independently that are approved for sale, including marketing, sales and distribution costs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our ability to establish new collaborations, licensing or other arrangements, if any, and the financial terms of such arrangements</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In our 2020 Form 10-K Part II, Item 7, Management’s Discussion and Analysis of Financial Conditions and Results of Operations, under the heading “Contractual Obligations and Commitments”, we have described our commitments and contingencies. There were no material changes to our total contractual commitments and obligations during the six months ended March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Annual Report on Form 10-K for the fiscal year ended September 30, 2020 (referred to as our 2020 Form 10-K) for </w:t>
      </w:r>
      <w:r>
        <w:rPr>
          <w:rFonts w:ascii="Arial" w:cs="Arial" w:eastAsia="Arial" w:hAnsi="Arial"/>
          <w:sz w:val="18"/>
          <w:szCs w:val="18"/>
          <w:color w:val="212529"/>
        </w:rPr>
        <w:t>information about critical accounting policies as well as a description of our other significant</w:t>
      </w:r>
      <w:r>
        <w:rPr>
          <w:rFonts w:ascii="Arial" w:cs="Arial" w:eastAsia="Arial" w:hAnsi="Arial"/>
          <w:sz w:val="18"/>
          <w:szCs w:val="18"/>
          <w:color w:val="auto"/>
        </w:rPr>
        <w:t xml:space="preserve"> </w:t>
      </w:r>
      <w:r>
        <w:rPr>
          <w:rFonts w:ascii="Arial" w:cs="Arial" w:eastAsia="Arial" w:hAnsi="Arial"/>
          <w:sz w:val="18"/>
          <w:szCs w:val="18"/>
          <w:color w:val="212529"/>
        </w:rPr>
        <w:t>accounting policies</w:t>
      </w:r>
      <w:r>
        <w:rPr>
          <w:rFonts w:ascii="Arial" w:cs="Arial" w:eastAsia="Arial" w:hAnsi="Arial"/>
          <w:sz w:val="18"/>
          <w:szCs w:val="18"/>
          <w:color w:val="000000"/>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had cash, cash equivalents and short-term and long-term marketable securities of $400.4 million at March 31, 2021 consisting of cash, money market funds,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we continue to progress our wholly-owned programs into clinical development we will conduct clinical trials outside of the U.S. and thus will face exposure to movements in foreign currency exchange rates, primarily the British Pound and Euro, against the U.S. Dollar, arising from our accounts payable and accrued expenses. During the six months ended March 31, 2021, the impact of foreign currency exposure was immaterial and thus did not have a significant impact on our consolidated financial statements. Our operations may become subject to more significant fluctuations in foreign currency exchange rates in the future if we continue to contract with vendors outside of the U.S.</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9"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three months ended March 31, 2021 that has materially affected, or is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—OTHER INFORMATION</w:t>
      </w:r>
    </w:p>
    <w:p>
      <w:pPr>
        <w:sectPr>
          <w:pgSz w:w="11900" w:h="16838" w:orient="portrait"/>
          <w:cols w:equalWidth="0" w:num="1">
            <w:col w:w="11220"/>
          </w:cols>
          <w:pgMar w:left="320" w:top="337" w:right="3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457" w:lineRule="exact"/>
        <w:rPr>
          <w:sz w:val="20"/>
          <w:szCs w:val="20"/>
          <w:color w:val="auto"/>
        </w:rPr>
      </w:pPr>
    </w:p>
    <w:p>
      <w:pPr>
        <w:sectPr>
          <w:pgSz w:w="11900" w:h="16838" w:orient="portrait"/>
          <w:cols w:equalWidth="0" w:num="2">
            <w:col w:w="1340" w:space="100"/>
            <w:col w:w="9780"/>
          </w:cols>
          <w:pgMar w:left="320" w:top="337" w:right="359" w:bottom="1440" w:gutter="0" w:footer="0" w:header="0"/>
          <w:type w:val="continuous"/>
        </w:sectPr>
      </w:pPr>
    </w:p>
    <w:p>
      <w:pPr>
        <w:ind w:right="160"/>
        <w:spacing w:after="0" w:line="275" w:lineRule="auto"/>
        <w:rPr>
          <w:sz w:val="20"/>
          <w:szCs w:val="20"/>
          <w:color w:val="auto"/>
        </w:rPr>
      </w:pPr>
      <w:r>
        <w:rPr>
          <w:rFonts w:ascii="Arial" w:cs="Arial" w:eastAsia="Arial" w:hAnsi="Arial"/>
          <w:sz w:val="17"/>
          <w:szCs w:val="17"/>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AbbVie’s success selling MAVYRET/MAVIRET, which includes our protease inhibitor, glecaprevir, for the treatment of HCV. AbbVie may continue to experience lower sales volume in future quarters due to a reduction in diagnoses and treatment of HCV, which could adversely affect our business.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rely on AbbVie to commercialize its regimen containing glecaprevir (our second protease inhibitor, which is one of the two DAAs in AbbVie’s MAVYRET/MAVIRET treatment), over which we have granted AbbVie complete control. Our ability to continue to generate revenue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68" w:lineRule="exact"/>
        <w:rPr>
          <w:sz w:val="20"/>
          <w:szCs w:val="20"/>
          <w:color w:val="auto"/>
        </w:rPr>
      </w:pPr>
    </w:p>
    <w:p>
      <w:pPr>
        <w:ind w:left="1000" w:right="2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continue to experience lower sales volume in future quarters due to a reduction in diagnoses and treatment of HCV if doctor visits and other routine healthcare activities remain at below normal levels as a result of the COVID-19 pandemic;</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maintain satisfactory levels of prescriptions by physicians and reimbursement by third-party payors for the MAVYRET/MAVIRET regimen in the various markets of the world where it is being sold;</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 including competition for exclusive arrangements with third-party payors and governmental entities as well as price competition;</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obtain all commercially necessary reimbursement approvals;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may unilaterally terminate our collaboration agreement on specified prior notice without any reason and without any further commitment.</w:t>
      </w:r>
    </w:p>
    <w:p>
      <w:pPr>
        <w:spacing w:after="0" w:line="1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do not have access to all information regarding AbbVie’s MAVYRET/MAVIRET, including certain information about spontaneous safety reports for any marketed product, regulatory affairs, process development, manufacturing, marketing, sales and other areas known by AbbVie. Thus, our ability to keep our stockholders informed about the status of the marketed products licensed under our collaboration is limited by the degree to which AbbVie keeps us informed. If AbbVie does not perform in the manner we expect or fulfill its responsibilities in a timely manner, or at all, the global commercialization of MAVYRET/MAVIRET could be terminated in selected jurisdictions or be commercially unsuccessful. In addition, AbbVie has the right to make decisions regarding the commercialization of licensed products without consulting us. For example, in 2018 AbbVie entered into a royalty-free licensing agreement with the Medicines Patent Pool to accelerate access to generic versions of MAVYRET/MAVIRET in 99 low- and middle-income countries and territories. AbbVie may also make decisions with which we do not agree. If AbbVie acts in a manner that is not in our best interest, then it could adversely affect our business and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27" w:name="page28"/>
    <w:bookmarkEnd w:id="27"/>
    <w:p>
      <w:pPr>
        <w:ind w:right="340"/>
        <w:spacing w:after="0" w:line="277" w:lineRule="auto"/>
        <w:rPr>
          <w:sz w:val="20"/>
          <w:szCs w:val="20"/>
          <w:color w:val="auto"/>
        </w:rPr>
      </w:pPr>
      <w:r>
        <w:rPr>
          <w:rFonts w:ascii="Arial" w:cs="Arial" w:eastAsia="Arial" w:hAnsi="Arial"/>
          <w:sz w:val="18"/>
          <w:szCs w:val="18"/>
          <w:b w:val="1"/>
          <w:bCs w:val="1"/>
          <w:i w:val="1"/>
          <w:iCs w:val="1"/>
          <w:color w:val="auto"/>
        </w:rPr>
        <w:t>Our royalty revenues are primarily derived from AbbVie’s net sales of its MAVYRET/MAVIRET regimen for HCV. If AbbVie is unable to maintain sales of this regimen at or above current levels of sales, our royalty revenues will be adversely affected.</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AbbVie’s MAVYRET/MAVIRET regimen continues to be the leading HCV treatment in the U.S. and several market geographies in developed countries where it is approved. While commercialization of this regimen is exclusively in AbbVie’s control without any required input from us, we believe it is possible that prices will decline further due to payors obtaining additional discounts or competitive market dynamics. For example, the states of Louisiana and Washington have each announced efforts to negotiate a blanket price for one of the HCV drug companies to treat all patients in one or more state programs (e.g. Medicaid). Gilead was awarded the contract in Louisiana and AbbVie was awarded the contract in Washington. In addition, Gilead has been able to access the Medicaid market at a lower price point to build its market share by using an authorized generic version of its HCV regimen branded as Epclusa</w:t>
      </w:r>
      <w:r>
        <w:rPr>
          <w:rFonts w:ascii="Arial" w:cs="Arial" w:eastAsia="Arial" w:hAnsi="Arial"/>
          <w:sz w:val="13"/>
          <w:szCs w:val="13"/>
          <w:color w:val="auto"/>
        </w:rPr>
        <w:t>®</w:t>
      </w:r>
      <w:r>
        <w:rPr>
          <w:rFonts w:ascii="Arial" w:cs="Arial" w:eastAsia="Arial" w:hAnsi="Arial"/>
          <w:sz w:val="16"/>
          <w:szCs w:val="16"/>
          <w:color w:val="auto"/>
        </w:rPr>
        <w:t>.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5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MAVYRET/MAVIRET regimen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Furthermore, we expect that the COVID-19 pandemic will continue to adversely affect AbbVie’s sales of MAVYRET/MAVIRET in the United States and the rest of the world if healthcare systems continue to experience varying levels of shut-down and diagnoses and treatment rates of HCV infections remain at below-normal levels. At this point in time we do not know the extent and duration of this adverse effect. We note, however, that the HCV patient pool will continue to carry the viral infection until treated.</w:t>
      </w:r>
    </w:p>
    <w:p>
      <w:pPr>
        <w:spacing w:after="0" w:line="29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RSV, HBV, NASH, hMPV and SARS-CoV-2, which may result in others discovering, developing or commercializing products before we do or doing so more successfully than we do.</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RSV, HBV, NASH, hMPV and SARS-CoV-2 and other viral infections or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8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expect AbbVie’s MAVYRET/MAVIRET to continue to face intense competition due to existing approved products in the HCV market. AbbVie’s MAVYRET/MAVIRET regimen currently faces competition in various world markets and subpopulations of HCV from Gilead’s Epclusa</w:t>
      </w:r>
      <w:r>
        <w:rPr>
          <w:rFonts w:ascii="Arial" w:cs="Arial" w:eastAsia="Arial" w:hAnsi="Arial"/>
          <w:sz w:val="13"/>
          <w:szCs w:val="13"/>
          <w:color w:val="auto"/>
        </w:rPr>
        <w:t>®</w:t>
      </w:r>
      <w:r>
        <w:rPr>
          <w:rFonts w:ascii="Arial" w:cs="Arial" w:eastAsia="Arial" w:hAnsi="Arial"/>
          <w:sz w:val="16"/>
          <w:szCs w:val="16"/>
          <w:color w:val="auto"/>
        </w:rPr>
        <w:t xml:space="preserve"> (a fixed dose combination of sofosbuvir and velpatasvir), Vosevi</w:t>
      </w:r>
      <w:r>
        <w:rPr>
          <w:rFonts w:ascii="Arial" w:cs="Arial" w:eastAsia="Arial" w:hAnsi="Arial"/>
          <w:sz w:val="13"/>
          <w:szCs w:val="13"/>
          <w:color w:val="auto"/>
        </w:rPr>
        <w:t>®</w:t>
      </w:r>
      <w:r>
        <w:rPr>
          <w:rFonts w:ascii="Arial" w:cs="Arial" w:eastAsia="Arial" w:hAnsi="Arial"/>
          <w:sz w:val="16"/>
          <w:szCs w:val="16"/>
          <w:color w:val="auto"/>
        </w:rPr>
        <w:t xml:space="preserve"> (a triple combination therapy of sofosbuvir, velpatasvir and voxilaprevir approved by the FDA in July 2017 for specified sofosbuvir -treatment failures and NS5A-inhibitor treatment failures) and Harvoni</w:t>
      </w:r>
      <w:r>
        <w:rPr>
          <w:rFonts w:ascii="Arial" w:cs="Arial" w:eastAsia="Arial" w:hAnsi="Arial"/>
          <w:sz w:val="13"/>
          <w:szCs w:val="13"/>
          <w:color w:val="auto"/>
        </w:rPr>
        <w:t>®</w:t>
      </w:r>
      <w:r>
        <w:rPr>
          <w:rFonts w:ascii="Arial" w:cs="Arial" w:eastAsia="Arial" w:hAnsi="Arial"/>
          <w:sz w:val="16"/>
          <w:szCs w:val="16"/>
          <w:color w:val="auto"/>
        </w:rPr>
        <w:t xml:space="preserve"> (a fixed-dose combination of sofosbuvir and ledipasvir); and to a lesser extent - Merck’s Zepatier</w:t>
      </w:r>
      <w:r>
        <w:rPr>
          <w:rFonts w:ascii="Arial" w:cs="Arial" w:eastAsia="Arial" w:hAnsi="Arial"/>
          <w:sz w:val="13"/>
          <w:szCs w:val="13"/>
          <w:color w:val="auto"/>
        </w:rPr>
        <w:t>®</w:t>
      </w:r>
      <w:r>
        <w:rPr>
          <w:rFonts w:ascii="Arial" w:cs="Arial" w:eastAsia="Arial" w:hAnsi="Arial"/>
          <w:sz w:val="16"/>
          <w:szCs w:val="16"/>
          <w:color w:val="auto"/>
        </w:rPr>
        <w:t xml:space="preserve"> (a fixed-dose combination of grazoprevir and elbasvir). Gilead launched authorized generic versions of Epclusa and Harvoni in January 2019 through a newly created subsidiary, Asegua Therapeutics, LLC, which has had an impact on the competitive landscape. For example, in March 2019, the state of Louisiana announced the selection of Asegua Therapeutics as their HCV subscription model pharmaceutical partner to provide the state with unrestricted access to its direct-acting antiviral medication. 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We also expect our other product candidates to face intense and increasing competition. RSV and HBV represent competitive therapeutic areas.</w:t>
      </w:r>
    </w:p>
    <w:p>
      <w:pPr>
        <w:spacing w:after="0" w:line="1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new antiviral treatments for RSV infection in adult and pediatric patients. Ark Biosciences, Johnson &amp; Johnson and ReViral each have compounds in clinical development. A prophylactic, monoclonal-antibody-based treatment from MedImmune,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there are effective antiviral medications prescribed for HBV, they generally have low true cure rates. Many companies are seeking to develop new HBV drugs that alone or in combination with other mechanisms could lead to a functional cure of HBV. Altimmune, Ascletis, Assembly, GIGB, Gilead, Green Cross, GSK/Ionis, HEC Pharma, Immunocore, Johnson &amp; Johnson/Janssen, MYR, Replicor, Roche, Vaccitech and Vir Biotechnology have Phase 2 programs in progress, with many of these companies conducting earlier stage programs as well. In addition, a number of companies have Phase 1 or earlier stage HBV programs, including AiCuris, Aligos, Antios, Arbutus, ENYO, Fujian Cosunter, Ichor, Jiangsu Hengrui, Protheragen, Qilu, Sichuan Kelon, VBI Vaccines, Venatorx, and Zhimeng Biopharma.</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Though there is currently no approved treatment for NASH, we expect significant competition from other companies in the development of new treatments for NASH and related conditions. In February 2019, Intercept Pharmaceuticals announced positive Phase 3 trial results for OCA (brand name Ocaliva</w:t>
      </w:r>
      <w:r>
        <w:rPr>
          <w:rFonts w:ascii="Arial" w:cs="Arial" w:eastAsia="Arial" w:hAnsi="Arial"/>
          <w:sz w:val="13"/>
          <w:szCs w:val="13"/>
          <w:color w:val="auto"/>
        </w:rPr>
        <w:t>®</w:t>
      </w:r>
      <w:r>
        <w:rPr>
          <w:rFonts w:ascii="Arial" w:cs="Arial" w:eastAsia="Arial" w:hAnsi="Arial"/>
          <w:sz w:val="16"/>
          <w:szCs w:val="16"/>
          <w:color w:val="auto"/>
        </w:rPr>
        <w:t>) in NASH and submitted U.S. and European regulatory filings in the second half of calendar 2019 for approvals in this indication. In June 2020 Intercept received a complete response letter from the FDA and has announced that it is currently in ongoing discussions with the FDA and expects to refile an NDA for OCA in 2021 with additional safety and efficacy data. In addition to Intercept, we are aware of several other companies with NASH programs that are significantly more advanced than ours, including companies with compounds in late stage (Ph2b/3) in NASH, namely Akero, BMS, Cirius, Galectin, Galmed, Gilead, Inventiva, Madrigal, NGM Bio, NorthSea, Novartis, Novo Nordisk Theratechnologies and Viking. In addition, a number of other companies have NASH or related programs with compounds in Phase 2 clinical trials. These companies include 89bio, Afimmune, Ascletis, AstraZeneca, Corcept, CymaBay, CytoDyn, Eli Lilly, ENYO, GRI Bio, Hanmi Pharma, Hepion, HighTide, Immuron, LifeMax. Lipocine, MediciNova, Metacrine, NuSirt, Oramed, Pfizer, Poxel, Roche, Sagimet, Second Genome, Terns, Zealan and Zydus Cadila. A significant number of other companies are conducting earlier stage clinical trials that may be applicable in NASH. There are also additional companies conducting preclinical studies in these disease areas.</w:t>
      </w:r>
    </w:p>
    <w:p>
      <w:pPr>
        <w:spacing w:after="0" w:line="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Many companies are testing vaccines, antibodies, and therapeutics for COVID-19. There are some companies developing specific, novel antivirals for SARS-CoV-2 that are currently in Phase 1/2 studies including Atea, Biocryst, Merck, Pfizer, Selva, and Toyama.</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ongoing COVID-19 pandemic has had an impact on our business operations and clinical trials and could continue, directly or indirectly, to adversely affect our business, results of operations and financial condition and our stock price.</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COVID-19 pandemic has had an impact on our business operations and we continue to monitor applicable government recommendations. We have made modifications to our normal operations because of the COVID-19 pandemic, including allowing certain of our employees to work remotely and conducting our laboratory operations at reduced capacity. In recent weeks our employees have had access to vaccinations under the government-run vaccination program. Notwithstanding these measures, the COVID-19 pandemic, including insufficient vaccination of the general population and the emergence of new SARS-CoV-2 variants, could affect the health and availability of our workforce as well as those of the third parties whom we are relying on to take similar measures. As a result, we may experience new disruptions to our business operations and our business could be materially adversely affected further, directly or indirectly, by the ongoing COVID-19 pandemic, which has spread to the countries in which we, our contract manufacturers, our preclinical and clinical research contractors and our collaborators in clinical research do business. National, state and local governments in affected regions have implemented and may continue to implement varying safety precautions, including quarantines, border closures, increased border controls, travel restrictions, shelter-in-place orders and shutdowns, business closures, cancellations of public gatherings and other measures. Organizations and individuals may continue to take additional steps to avoid or reduce infection, including limiting travel and staying home from work. These measures may continue to disrupt normal business operations both inside and outside of affected areas and have had significant negative impacts on healthcare and other businesses worldwide.</w:t>
      </w:r>
    </w:p>
    <w:p>
      <w:pPr>
        <w:spacing w:after="0" w:line="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extent and severity of the impact on our business and clinical trials will be determined largely by the extent of disruptions in the supply chains for our research and clinical trial materials, delays in the conduct and recruitment of current and future clinical trials and reductions in the number of patients accessing AbbVie’s HCV regimens. For example, we paused recruitment for our Phase 2b</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9" w:name="page30"/>
    <w:bookmarkEnd w:id="29"/>
    <w:p>
      <w:pPr>
        <w:spacing w:after="0" w:line="293" w:lineRule="auto"/>
        <w:rPr>
          <w:sz w:val="20"/>
          <w:szCs w:val="20"/>
          <w:color w:val="auto"/>
        </w:rPr>
      </w:pPr>
      <w:r>
        <w:rPr>
          <w:rFonts w:ascii="Arial" w:cs="Arial" w:eastAsia="Arial" w:hAnsi="Arial"/>
          <w:sz w:val="16"/>
          <w:szCs w:val="16"/>
          <w:color w:val="auto"/>
        </w:rPr>
        <w:t>ARGON-2 study of EDP-305 in NASH patients and Part 2 of our Phase 1a/1b study of EDP-514 in nuc-suppressed HBV patients in March 2020, but we were able to resume recruitment of these studies in July 2020. In addition, the public health response to the COVID-19 pandemic, including lock-downs, mask mandates, social distancing and other mitigation steps to manage the COVID-19 pandemic have significantly reduced the incidence of RSV and other respiratory illnesses worldwide. We have made extensive efforts to expand our clinical sites beyond North America, including sites across Europe, the Asia-Pacific and the Southern Hemisphere, to be ready when RSV infection re-emerges, but we cannot predict when that may occur. These impacts of COVID-19 could continue to affect the future course of our RSV studies and our other ongoing clinical trials and delay their timelines.</w:t>
      </w:r>
    </w:p>
    <w:p>
      <w:pPr>
        <w:spacing w:after="0" w:line="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During 2020 and 2021, COVID-19 has also impacted new HCV patient starts in both the United States and the rest of the world, resulting in a decline in sales of HCV treatments. While new HCV infections are continuing, at this time it is uncertain when and the extent to which treatment of new HCV patients and revenues will return to pre-COVID-19 levels.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the impact of the COVID-19 pandemic on the operations of the FDA and other health authorities may delay potential approvals of our clinical trial protocols.</w:t>
      </w:r>
    </w:p>
    <w:p>
      <w:pPr>
        <w:spacing w:after="0" w:line="17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Although it is not possible at this time to estimate the entirety of the impact that the COVID-19 pandemic will have on our business, operations and employees, our contract manufacturers, our preclinical and clinical research contractors, and our collaborators in clinical research, any continued spread of COVID-19, measures taken by governments, actions taken to protect employees from this disease, and the broad impact of the pandemic on all business activities, may materially and adversely affect our business, results of operations and financial condition and our stock price. Additionally, as new, more infectious variants emerge, it is possible that the impact of the pandemic on our business may increase or lengthen in duration.</w:t>
      </w:r>
    </w:p>
    <w:p>
      <w:pPr>
        <w:spacing w:after="0" w:line="2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the development of our independent RSV, NASH, and HBV programs, we will need to successfully:</w:t>
      </w:r>
    </w:p>
    <w:p>
      <w:pPr>
        <w:spacing w:after="0" w:line="79" w:lineRule="exact"/>
        <w:rPr>
          <w:sz w:val="20"/>
          <w:szCs w:val="20"/>
          <w:color w:val="auto"/>
        </w:rPr>
      </w:pPr>
    </w:p>
    <w:p>
      <w:pPr>
        <w:ind w:left="1000" w:right="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and maintain patent protection for our product candidates and freedom from infringement of intellectual property of others;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payors and patients;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2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not successful in developing EDP-938, EDP-514, EDP-721, EDP-305, and/or EDP-297 or in discovering further product candidates, our ability to expand our business and achieve our strategic objectives will be impaired.</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9"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44" w:lineRule="exact"/>
        <w:rPr>
          <w:rFonts w:ascii="Arial" w:cs="Arial" w:eastAsia="Arial" w:hAnsi="Arial"/>
          <w:sz w:val="18"/>
          <w:szCs w:val="18"/>
          <w:color w:val="auto"/>
        </w:rPr>
      </w:pPr>
    </w:p>
    <w:p>
      <w:pPr>
        <w:ind w:left="1000" w:right="540" w:hanging="493"/>
        <w:spacing w:after="0" w:line="308"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spacing w:after="0" w:line="320" w:lineRule="auto"/>
        <w:rPr>
          <w:sz w:val="20"/>
          <w:szCs w:val="20"/>
          <w:color w:val="auto"/>
        </w:rPr>
      </w:pPr>
      <w:r>
        <w:rPr>
          <w:rFonts w:ascii="Arial" w:cs="Arial" w:eastAsia="Arial" w:hAnsi="Arial"/>
          <w:sz w:val="15"/>
          <w:szCs w:val="15"/>
          <w:b w:val="1"/>
          <w:bCs w:val="1"/>
          <w:i w:val="1"/>
          <w:iCs w:val="1"/>
          <w:color w:val="auto"/>
        </w:rPr>
        <w:t>We reported a net loss for the fiscal year ended September 30, 2020 and the six months ended March 31, 2021 primarily due to the impact of COVID-19 on our royalty revenues. Continued changes in royalty revenue earned under our AbbVie agreement or changes in the level of expenses associated with development of our product candidates, or both, may cause our results of operations to fluctuate from period to period. Any continuation of the recent trend of reducing royalty revenue, combined with increasing research and development expenses in support of our advancing programs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would likely result in continued operating losses in the coming year and in future periods unless we develop other sources of revenue.</w:t>
      </w:r>
    </w:p>
    <w:p>
      <w:pPr>
        <w:spacing w:after="0" w:line="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the varying rates of reimbursement in different countries and the impact of the COVID-19 pandemic on HCV sales.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Additionally, many of the preclinical and clinical development activities required for our product candidates must be contracted out to contract research organizations, or CROs, at significant expense. We expect these expenses to increase substantially in the coming years as we advance compounds and conduct more clinical studies. However, the global impact of COVID-19 has had, and is likely to continue to have, an adverse effect on the ability of our CROs to conduct preclinical and clinical studies. At this point in time we do not know to what extent these studies will be impacted by the pandemic. Therefore, now more than ever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If combined with any continuation of the recent trend of reduced royalty revenue, such a trend would likely result in operating losses in the coming year and in future periods, unless we develop other sources of revenue.</w:t>
      </w:r>
    </w:p>
    <w:p>
      <w:pPr>
        <w:spacing w:after="0" w:line="2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and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obtain these capabilities.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74" w:lineRule="exact"/>
        <w:rPr>
          <w:sz w:val="20"/>
          <w:szCs w:val="20"/>
          <w:color w:val="auto"/>
        </w:rPr>
      </w:pPr>
    </w:p>
    <w:p>
      <w:pPr>
        <w:jc w:val="both"/>
        <w:ind w:right="180"/>
        <w:spacing w:after="0" w:line="375" w:lineRule="auto"/>
        <w:rPr>
          <w:sz w:val="20"/>
          <w:szCs w:val="20"/>
          <w:color w:val="auto"/>
        </w:rPr>
      </w:pPr>
      <w:r>
        <w:rPr>
          <w:rFonts w:ascii="Arial" w:cs="Arial" w:eastAsia="Arial" w:hAnsi="Arial"/>
          <w:sz w:val="15"/>
          <w:szCs w:val="15"/>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royalties generated from MAVYRET/MAVIRET sales under our existing collaboration with AbbVie;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continuing impact of the COVID-19 pandemic on the numbers of treated HCV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44"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as a result of the COVID-19 pandemic;</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212529"/>
        </w:rPr>
        <w:t>the cost of manufacturing our product candidates for clinical development and any products we successfully commercialize independently</w:t>
      </w:r>
      <w:r>
        <w:rPr>
          <w:rFonts w:ascii="Arial" w:cs="Arial" w:eastAsia="Arial" w:hAnsi="Arial"/>
          <w:sz w:val="16"/>
          <w:szCs w:val="16"/>
          <w:color w:val="000000"/>
        </w:rPr>
        <w:t>;</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timing of, </w:t>
      </w:r>
      <w:r>
        <w:rPr>
          <w:rFonts w:ascii="Arial" w:cs="Arial" w:eastAsia="Arial" w:hAnsi="Arial"/>
          <w:sz w:val="18"/>
          <w:szCs w:val="18"/>
          <w:color w:val="212529"/>
        </w:rPr>
        <w:t>and the costs involved in, obtaining regulatory approvals for any product candidates we develop independently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212529"/>
        </w:rPr>
        <w:t>the cost of commercialization activities, if any, of any product candidates we develop independently that are approved for sale, including marketing, sales and distribution costs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212529"/>
        </w:rPr>
        <w:t>our ability to establish new collaborations, licensing or other arrangements, if any, and the financial terms of such arrangements</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Any ongoing or future clinical trials of our product candidates may fail to demonstrate sufficient safety and efficacy. If clinical trials of any of our proprietary product candidates are prolonged or delayed or fail, we may be unable to commercialize our product candidates on a timely basis or ever.</w:t>
      </w:r>
    </w:p>
    <w:p>
      <w:pPr>
        <w:spacing w:after="0" w:line="4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were clinically developed by AbbVie, has yet to advance beyond completion of Phase 2 clinical trials. Any ongoing or future clinical trials of our product candidates may fail to demonstrate sufficient safety and efficacy. Moreover, regulatory and administrative delays, including those caused by the COVID-19 pandemic,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00" w:right="240" w:hanging="493"/>
        <w:spacing w:after="0" w:line="308"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44" w:lineRule="exact"/>
        <w:rPr>
          <w:rFonts w:ascii="Arial" w:cs="Arial" w:eastAsia="Arial" w:hAnsi="Arial"/>
          <w:sz w:val="18"/>
          <w:szCs w:val="18"/>
          <w:color w:val="auto"/>
        </w:rPr>
      </w:pPr>
    </w:p>
    <w:p>
      <w:pPr>
        <w:ind w:left="1000" w:right="500" w:hanging="493"/>
        <w:spacing w:after="0" w:line="308"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44"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the COVID-19 pandemic on the ability of CROs to conduct their own operations, resulting in, among other things, delays in recruitment or dosing of our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seasonality and variations in incidents of infection year to year (e.g. RSV) affecting enrollment in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44"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governmental or regulatory administration, including, for example, administrative delays due to the planned relocation of the EMA to the Netherlands;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regulatory requirements, policy and guidelines, including guidelines specifically addressing requirements for the development of treatments for RSV, NASH, or HBV;</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obtaining and maintaining adequate insurance coverage;</w:t>
      </w:r>
    </w:p>
    <w:p>
      <w:pPr>
        <w:spacing w:after="0" w:line="144" w:lineRule="exact"/>
        <w:rPr>
          <w:rFonts w:ascii="Arial" w:cs="Arial" w:eastAsia="Arial" w:hAnsi="Arial"/>
          <w:sz w:val="18"/>
          <w:szCs w:val="18"/>
          <w:color w:val="auto"/>
        </w:rPr>
      </w:pPr>
    </w:p>
    <w:p>
      <w:pPr>
        <w:ind w:left="1000" w:right="100" w:hanging="493"/>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33" w:name="page34"/>
    <w:bookmarkEnd w:id="33"/>
    <w:p>
      <w:pPr>
        <w:ind w:right="20"/>
        <w:spacing w:after="0" w:line="257" w:lineRule="auto"/>
        <w:rPr>
          <w:sz w:val="20"/>
          <w:szCs w:val="20"/>
          <w:color w:val="auto"/>
        </w:rPr>
      </w:pPr>
      <w:r>
        <w:rPr>
          <w:rFonts w:ascii="Arial" w:cs="Arial" w:eastAsia="Arial" w:hAnsi="Arial"/>
          <w:sz w:val="18"/>
          <w:szCs w:val="18"/>
          <w:color w:val="auto"/>
        </w:rPr>
        <w:t>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9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that the further development of successful therapies in our principal disease areas of NASH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30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b w:val="1"/>
          <w:bCs w:val="1"/>
          <w:i w:val="1"/>
          <w:iCs w:val="1"/>
          <w:color w:val="auto"/>
        </w:rPr>
        <w:t>EDP-938, EDP-514, EDP-721, EDP-305, EDP-297 or any other product candidate emerging from our current RSV, HBV, hMPV, SARS-Cov-2 and NASH programs may have undesirable side effects which may delay or prevent marketing approval, or, if approval is received, require our product candidate to be taken off the market, require us to include safety warnings or otherwise limit sales.</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12121"/>
        </w:rPr>
        <w:t>In our RSV program, we are developing inhibitors of the N protein. No inhibitor of the RSV N protein has progressed beyond a Phase 2 clinical trial, so we are not yet able to assess the potential liabilities of an N inhibitor in large scale studies or in the general population. In addition, in RSV the principal target populations, namely infants, the elderly, and the immunocompromised, represent sensitive patient populations that could be more prone to adverse effects of therapy.</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12121"/>
        </w:rPr>
        <w:t>In our HBV program, we are developing modulators of capsid assembly, also known as core inhibitors. This is a newer mechanism of action for potential HBV treatment, and no capsid assembly modulators have advanced beyond Phase 2 clinical studies. Thus, we are not able to predict what adverse effects may arise in longer term studies conducted in larger populations. In addition,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8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our NASH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 approved in May 2016 for PBC, and an older drug not commonly used but approved to treat cholesterol gallstones (by dissolving them) and a rare lipid storage disease. In the case of Ocaliva, which is also in development for NASH, the FDA issued a Complete Response Letter, or CRL, in June 2020, due at least in part to some still undisclosed safety signal identified by the FDA.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5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In addition, our drug candidates for NASH are being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w:t>
      </w:r>
      <w:r>
        <w:rPr>
          <w:rFonts w:ascii="Arial" w:cs="Arial" w:eastAsia="Arial" w:hAnsi="Arial"/>
          <w:sz w:val="17"/>
          <w:szCs w:val="17"/>
          <w:color w:val="212121"/>
        </w:rPr>
        <w:t>development programs being negatively</w:t>
      </w:r>
      <w:r>
        <w:rPr>
          <w:rFonts w:ascii="Arial" w:cs="Arial" w:eastAsia="Arial" w:hAnsi="Arial"/>
          <w:sz w:val="17"/>
          <w:szCs w:val="17"/>
          <w:color w:val="auto"/>
        </w:rPr>
        <w:t xml:space="preserve"> </w:t>
      </w:r>
      <w:r>
        <w:rPr>
          <w:rFonts w:ascii="Arial" w:cs="Arial" w:eastAsia="Arial" w:hAnsi="Arial"/>
          <w:sz w:val="17"/>
          <w:szCs w:val="17"/>
          <w:color w:val="212121"/>
        </w:rPr>
        <w:t>affected even if such events or symptoms are ultimately determined to be unlikely related to our drug candidates.</w:t>
      </w:r>
    </w:p>
    <w:p>
      <w:pPr>
        <w:spacing w:after="0" w:line="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212121"/>
        </w:rPr>
        <w:t>If any of our product candidates receives marketing approval and we or others later identify undesirable or unacceptable side effects caused by such products:</w:t>
      </w:r>
    </w:p>
    <w:p>
      <w:pPr>
        <w:spacing w:after="0" w:line="62" w:lineRule="exact"/>
        <w:rPr>
          <w:sz w:val="20"/>
          <w:szCs w:val="20"/>
          <w:color w:val="auto"/>
        </w:rPr>
      </w:pPr>
    </w:p>
    <w:p>
      <w:pPr>
        <w:ind w:left="1000" w:right="22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and our stock price may suffer.</w:t>
      </w:r>
    </w:p>
    <w:p>
      <w:pPr>
        <w:spacing w:after="0" w:line="144"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date we have only tested our product candidates through initial Phase 2 studies. The results of preclinical studies and these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For example, several companies engaged in clinical development in the disease areas we are also engaged in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FDA, the EMA or other comparable foreign regulatory authorities may disagree with the design or implementation of our clinical trials;</w:t>
      </w:r>
    </w:p>
    <w:p>
      <w:pPr>
        <w:spacing w:after="0" w:line="167" w:lineRule="exact"/>
        <w:rPr>
          <w:rFonts w:ascii="Arial" w:cs="Arial" w:eastAsia="Arial" w:hAnsi="Arial"/>
          <w:sz w:val="16"/>
          <w:szCs w:val="16"/>
          <w:color w:val="auto"/>
        </w:rPr>
      </w:pPr>
    </w:p>
    <w:p>
      <w:pPr>
        <w:ind w:left="1000" w:right="2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4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00" w:right="82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00" w:right="960" w:hanging="493"/>
        <w:spacing w:after="0" w:line="308"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3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62"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29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ind w:right="28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00" w:right="1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44"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pricing regulations, third-party reimbursement practices or healthcare reform initiatives in the United States could harm our business.</w:t>
      </w:r>
    </w:p>
    <w:p>
      <w:pPr>
        <w:spacing w:after="0" w:line="14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several states have not implemented certain sections of the ACA, including 14 that have rejected the expansion of Medicaid eligibility for low income citizens, and some members of the</w:t>
      </w:r>
    </w:p>
    <w:p>
      <w:pPr>
        <w:spacing w:after="0" w:line="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U.S. Congress are still working to repeal the ACA. On December 14,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on December 18, 2019, the Fifth Circuit U.S. Court of Appeals held that the individual mandate is unconstitutional and remanded the case to the District Court to reconsider its earlier invalidation of the entire ACA. This decision is currently on appeal in the United States Supreme Court, where briefs were argued in November 2020. Pending the decision on this appeal, it is unclear how this case will impact the ACA. We cannot predict what impact this case, or any legislation to replace the ACA if it is invalidated, may have on us or on AbbVie’s sales of MAVYRET/MAVIRET.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line="254" w:lineRule="auto"/>
        <w:rPr>
          <w:sz w:val="20"/>
          <w:szCs w:val="20"/>
          <w:color w:val="auto"/>
        </w:rPr>
      </w:pPr>
      <w:r>
        <w:rPr>
          <w:rFonts w:ascii="Arial" w:cs="Arial" w:eastAsia="Arial" w:hAnsi="Arial"/>
          <w:sz w:val="18"/>
          <w:szCs w:val="18"/>
          <w:color w:val="auto"/>
        </w:rPr>
        <w:t>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which could seriously harm our future revenues, and the price of our common stock could be materially adversely affected.</w:t>
      </w:r>
    </w:p>
    <w:p>
      <w:pPr>
        <w:spacing w:after="0" w:line="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we may not be able to successfully commercialize any product candidate for which we may seek marketing approval.</w:t>
      </w:r>
    </w:p>
    <w:p>
      <w:pPr>
        <w:spacing w:after="0" w:line="6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6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the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16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55" w:lineRule="exact"/>
        <w:rPr>
          <w:rFonts w:ascii="Arial" w:cs="Arial" w:eastAsia="Arial" w:hAnsi="Arial"/>
          <w:sz w:val="17"/>
          <w:szCs w:val="17"/>
          <w:color w:val="auto"/>
        </w:rPr>
      </w:pPr>
    </w:p>
    <w:p>
      <w:pPr>
        <w:ind w:left="1000" w:right="14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MAVYRET/MAVIRET, as well as EDP-938, EDP-514, EDP-721, EDP-305, EDP-297 and any other product candidate that we may develop in the future, whether as part of a combination therapy or as a monotherapy, are subject to market acceptance among physicians, healthcare payors, patients and the medical community. The degree of market acceptance of any product candidate for which we obtain approval for commercial sale, will depend on a number of factors, including:</w:t>
      </w:r>
    </w:p>
    <w:p>
      <w:pPr>
        <w:spacing w:after="0" w:line="79" w:lineRule="exact"/>
        <w:rPr>
          <w:sz w:val="20"/>
          <w:szCs w:val="20"/>
          <w:color w:val="auto"/>
        </w:rPr>
      </w:pPr>
    </w:p>
    <w:p>
      <w:pPr>
        <w:ind w:left="1000" w:right="200" w:hanging="493"/>
        <w:spacing w:after="0" w:line="308"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44"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44" w:lineRule="exact"/>
        <w:rPr>
          <w:rFonts w:ascii="Arial" w:cs="Arial" w:eastAsia="Arial" w:hAnsi="Arial"/>
          <w:sz w:val="18"/>
          <w:szCs w:val="18"/>
          <w:color w:val="auto"/>
        </w:rPr>
      </w:pPr>
    </w:p>
    <w:p>
      <w:pPr>
        <w:jc w:val="both"/>
        <w:ind w:left="1000" w:right="220" w:hanging="493"/>
        <w:spacing w:after="0" w:line="286"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continued longevity of any market for which we develop a drug;</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39" w:name="page40"/>
    <w:bookmarkEnd w:id="39"/>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treatment of any disease for which we develop a drug;</w:t>
      </w:r>
    </w:p>
    <w:p>
      <w:pPr>
        <w:spacing w:after="0" w:line="144"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4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experience a delay in entering into, or fail to maintain, such collaborations:</w:t>
      </w:r>
    </w:p>
    <w:p>
      <w:pPr>
        <w:spacing w:after="0" w:line="62"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44"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cash expenditures related to the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as a result of the COVID-19 pandemic,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0" w:name="page41"/>
    <w:bookmarkEnd w:id="40"/>
    <w:p>
      <w:pPr>
        <w:spacing w:after="0" w:line="254" w:lineRule="auto"/>
        <w:rPr>
          <w:sz w:val="20"/>
          <w:szCs w:val="20"/>
          <w:color w:val="auto"/>
        </w:rPr>
      </w:pPr>
      <w:r>
        <w:rPr>
          <w:rFonts w:ascii="Arial" w:cs="Arial" w:eastAsia="Arial" w:hAnsi="Arial"/>
          <w:sz w:val="18"/>
          <w:szCs w:val="18"/>
          <w:color w:val="auto"/>
        </w:rPr>
        <w:t>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27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political unrest or an epidemic in China, such as the COVID-19 pandemic, could materially adversely affect our business, financial condition and results of operations.</w:t>
      </w:r>
    </w:p>
    <w:p>
      <w:pPr>
        <w:spacing w:after="0" w:line="6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pandemics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outbreak of COVID-19 in the Wuhan region of China. To date our contract manufacturer in China, which is not located in the Wuhan region, has not had any material delays in its ability to deliver API and other services.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100"/>
        <w:spacing w:after="0" w:line="301"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engagement is terminated, we may be unable to enroll patients on a timely basis or otherwise conduct our trials in the manner we anticipate. In the case of our ongoing studies, we paused recruitment and dosing of the ARGON-2 Phase 2b NASH study and Part 2 of our Phase 1a/1b study of EDP-514 in nuc-suppressed HBV patients as a result of the COVID-19 pandemic in March 2020, but we were able to resume these studies in July 2020. The pause in these studies is expected to delay their completion, and it is uncertain whether they or any of our other ongoing studies may be subject to further disruptions due to the ongoing pandemic.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7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competing to develop intellectual property in areas of small-molecule drug development that are highly competitive. We could be unsuccessful in obtaining or maintaining adequate patent protection for one or more of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ind w:right="140"/>
        <w:spacing w:after="0" w:line="301" w:lineRule="auto"/>
        <w:rPr>
          <w:sz w:val="20"/>
          <w:szCs w:val="20"/>
          <w:color w:val="auto"/>
        </w:rPr>
      </w:pPr>
      <w:r>
        <w:rPr>
          <w:rFonts w:ascii="Arial" w:cs="Arial" w:eastAsia="Arial" w:hAnsi="Arial"/>
          <w:sz w:val="16"/>
          <w:szCs w:val="16"/>
          <w:color w:val="auto"/>
        </w:rPr>
        <w:t>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certain of our activities in the past have been funded, and others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7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ind w:right="100"/>
        <w:spacing w:after="0" w:line="259" w:lineRule="auto"/>
        <w:rPr>
          <w:sz w:val="20"/>
          <w:szCs w:val="20"/>
          <w:color w:val="auto"/>
        </w:rPr>
      </w:pPr>
      <w:r>
        <w:rPr>
          <w:rFonts w:ascii="Arial" w:cs="Arial" w:eastAsia="Arial" w:hAnsi="Arial"/>
          <w:sz w:val="18"/>
          <w:szCs w:val="18"/>
          <w:color w:val="auto"/>
        </w:rPr>
        <w:t>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9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to patents, we rely on trade secrets, technical know-how and proprietary information concerning our business strategy and product candidates in order to protect our competitive position in the field of each of our antivirals and our NASH product candidates.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7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6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4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and during the COVID-19 pandemic in part due to the proliferation of new technologies, the increased sophistication and activities of organized crime, hackers, terrorists and other external parties, including foreign state actors as well as remote working for many businesses. As cyber threats continue to evolve, we may be required to expend significant additional resources to continue to modify or enhance our protective measures or to investigate and remediate any information security breaches.</w:t>
      </w:r>
    </w:p>
    <w:p>
      <w:pPr>
        <w:spacing w:after="0" w:line="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 and GDPR,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2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00" w:hanging="493"/>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00" w:right="320" w:hanging="493"/>
        <w:spacing w:after="0" w:line="286"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ind w:left="1000" w:right="260" w:hanging="493"/>
        <w:spacing w:after="0" w:line="259"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00" w:right="400" w:hanging="493"/>
        <w:spacing w:after="0" w:line="30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00" w:hanging="493"/>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5" w:lineRule="exact"/>
        <w:rPr>
          <w:rFonts w:ascii="Arial" w:cs="Arial" w:eastAsia="Arial" w:hAnsi="Arial"/>
          <w:sz w:val="18"/>
          <w:szCs w:val="18"/>
          <w:color w:val="auto"/>
        </w:rPr>
      </w:pPr>
    </w:p>
    <w:p>
      <w:pPr>
        <w:ind w:left="1000" w:right="80" w:hanging="493"/>
        <w:spacing w:after="0" w:line="275"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8" w:lineRule="exact"/>
        <w:rPr>
          <w:rFonts w:ascii="Arial" w:cs="Arial" w:eastAsia="Arial" w:hAnsi="Arial"/>
          <w:sz w:val="17"/>
          <w:szCs w:val="17"/>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From September 30, 2014 through March 31, 2021, the daily closing price of our common stock on the NASDAQ Global Select Market has ranged from $21.00 to $126.37.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which in some cases has been exacerbated by the COVID-19 pandemic. As a result of this volatility, you may not be able to sell your holdings of our common stock at or above your purchase price, if at all. The market price for our common stock may be influenced by many factors, including:</w:t>
      </w:r>
    </w:p>
    <w:p>
      <w:pPr>
        <w:spacing w:after="0" w:line="56" w:lineRule="exact"/>
        <w:rPr>
          <w:sz w:val="20"/>
          <w:szCs w:val="20"/>
          <w:color w:val="auto"/>
        </w:rPr>
      </w:pPr>
    </w:p>
    <w:p>
      <w:pPr>
        <w:ind w:left="1000" w:right="4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00" w:right="9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actions by AbbVie regarding the MAVYRET/MAVIRET regimen, including announcements regarding regulatory or commercial developments;</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of AbbVie’s MAVYRET/MAVIRET regimen to maintain its sales levels;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6" w:name="page47"/>
    <w:bookmarkEnd w:id="46"/>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44"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3"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44"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00" w:right="480" w:hanging="493"/>
        <w:spacing w:after="0" w:line="286"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00" w:right="48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a premium for their shares of our common stock, and could also affect the price that some investors are willing to pay for our common stock.</w:t>
      </w:r>
    </w:p>
    <w:p>
      <w:pPr>
        <w:spacing w:after="0" w:line="33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$5.5 million for severance and other non-equity-based benefits in the event of a termination of employment in connection with a change of control of our company. In addition, based on the closing price of our common stock of $49.32 per common share as of March 31, 2021, the aggregate intrinsic value of unvested stock options and other equity awards subject to accelerated vesting upon these events was $15.6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2021 we had 20.2 million shares of common stock outstanding. In addition, as of March 31, 2021, we had 3.9 million and 0.3 million shares of common stock that are subject to outstanding options or restricted stock unit awards, respectively, under our outstanding equity plans are eligible for sale in the public market to the extent permitted by the provisions of various vesting schedules, and Rule 144 under the Securities Act. If these additional shares of common stock are sold, or it is perceived that they will be sold, in the public market, the trading price of our common stock could decline.</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100"/>
        <w:spacing w:after="0" w:line="254" w:lineRule="auto"/>
        <w:rPr>
          <w:sz w:val="20"/>
          <w:szCs w:val="20"/>
          <w:color w:val="auto"/>
        </w:rPr>
      </w:pPr>
      <w:r>
        <w:rPr>
          <w:rFonts w:ascii="Arial" w:cs="Arial" w:eastAsia="Arial" w:hAnsi="Arial"/>
          <w:sz w:val="18"/>
          <w:szCs w:val="18"/>
          <w:color w:val="auto"/>
        </w:rPr>
        <w:t>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00" w:right="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left="1000" w:right="2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44"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8" w:lineRule="exact"/>
        <w:rPr>
          <w:rFonts w:ascii="Arial" w:cs="Arial" w:eastAsia="Arial" w:hAnsi="Arial"/>
          <w:sz w:val="18"/>
          <w:szCs w:val="18"/>
          <w:color w:val="auto"/>
        </w:rPr>
      </w:pPr>
    </w:p>
    <w:p>
      <w:pPr>
        <w:ind w:left="1000" w:right="740" w:hanging="493"/>
        <w:spacing w:after="0" w:line="308"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44" w:lineRule="exact"/>
        <w:rPr>
          <w:rFonts w:ascii="Arial" w:cs="Arial" w:eastAsia="Arial" w:hAnsi="Arial"/>
          <w:sz w:val="18"/>
          <w:szCs w:val="18"/>
          <w:color w:val="auto"/>
        </w:rPr>
      </w:pPr>
    </w:p>
    <w:p>
      <w:pPr>
        <w:ind w:left="1000" w:right="80" w:hanging="493"/>
        <w:spacing w:after="0" w:line="308"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general liability, employment practices liability, property, auto, workers’ compensation, cybersecurity,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28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failure to maintain effective internal control as a result of shutdowns during the global COVID-19 pandemic could result in deficiencies in internal control.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320" w:type="dxa"/>
            <w:vAlign w:val="bottom"/>
            <w:gridSpan w:val="18"/>
          </w:tcPr>
          <w:p>
            <w:pPr>
              <w:ind w:left="160"/>
              <w:spacing w:after="0"/>
              <w:rPr>
                <w:sz w:val="20"/>
                <w:szCs w:val="20"/>
                <w:color w:val="auto"/>
              </w:rPr>
            </w:pPr>
            <w:r>
              <w:rPr>
                <w:rFonts w:ascii="Arial" w:cs="Arial" w:eastAsia="Arial" w:hAnsi="Arial"/>
                <w:sz w:val="18"/>
                <w:szCs w:val="18"/>
                <w:b w:val="1"/>
                <w:bCs w:val="1"/>
                <w:color w:val="auto"/>
              </w:rPr>
              <w:t>EXHIBITS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1000" w:type="dxa"/>
            <w:vAlign w:val="bottom"/>
            <w:gridSpan w:val="2"/>
            <w:vMerge w:val="continue"/>
          </w:tcPr>
          <w:p>
            <w:pPr>
              <w:spacing w:after="0"/>
              <w:rPr>
                <w:sz w:val="10"/>
                <w:szCs w:val="10"/>
                <w:color w:val="auto"/>
              </w:rPr>
            </w:pPr>
          </w:p>
        </w:tc>
        <w:tc>
          <w:tcPr>
            <w:tcW w:w="5220" w:type="dxa"/>
            <w:vAlign w:val="bottom"/>
            <w:gridSpan w:val="17"/>
            <w:vMerge w:val="restart"/>
          </w:tcPr>
          <w:p>
            <w:pPr>
              <w:ind w:left="20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0"/>
                <w:szCs w:val="10"/>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5220" w:type="dxa"/>
            <w:vAlign w:val="bottom"/>
            <w:tcBorders>
              <w:bottom w:val="single" w:sz="8" w:color="auto"/>
            </w:tcBorders>
            <w:gridSpan w:val="17"/>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4980" w:type="dxa"/>
            <w:vAlign w:val="bottom"/>
            <w:tcBorders>
              <w:bottom w:val="single" w:sz="8" w:color="0000EE"/>
            </w:tcBorders>
            <w:gridSpan w:val="11"/>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Restated Certificate of Incorporation of Enanta Pharmaceuticals, Inc.</w:t>
              </w:r>
            </w:hyperlink>
          </w:p>
        </w:tc>
        <w:tc>
          <w:tcPr>
            <w:tcW w:w="340" w:type="dxa"/>
            <w:vAlign w:val="bottom"/>
            <w:gridSpan w:val="7"/>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03/28/2013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5320" w:type="dxa"/>
            <w:vAlign w:val="bottom"/>
            <w:gridSpan w:val="18"/>
          </w:tcPr>
          <w:p>
            <w:pPr>
              <w:spacing w:after="0"/>
              <w:rPr>
                <w:rFonts w:ascii="Arial" w:cs="Arial" w:eastAsia="Arial" w:hAnsi="Arial"/>
                <w:sz w:val="18"/>
                <w:szCs w:val="18"/>
                <w:color w:val="0000EE"/>
                <w:w w:val="98"/>
              </w:rPr>
            </w:pPr>
            <w:hyperlink r:id="rId76">
              <w:r>
                <w:rPr>
                  <w:rFonts w:ascii="Arial" w:cs="Arial" w:eastAsia="Arial" w:hAnsi="Arial"/>
                  <w:sz w:val="18"/>
                  <w:szCs w:val="18"/>
                  <w:color w:val="0000EE"/>
                  <w:w w:val="98"/>
                </w:rPr>
                <w:t>Amended and Restated Bylaws of Enanta Pharmaceuticals, Inc. (as</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amended and restated in August 2015)</w:t>
              </w:r>
            </w:hyperlink>
          </w:p>
        </w:tc>
        <w:tc>
          <w:tcPr>
            <w:tcW w:w="48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gridSpan w:val="18"/>
          </w:tcPr>
          <w:p>
            <w:pPr>
              <w:spacing w:after="0"/>
              <w:rPr>
                <w:rFonts w:ascii="Arial" w:cs="Arial" w:eastAsia="Arial" w:hAnsi="Arial"/>
                <w:sz w:val="18"/>
                <w:szCs w:val="18"/>
                <w:color w:val="0000EE"/>
              </w:rPr>
            </w:pPr>
            <w:hyperlink r:id="rId77">
              <w:r>
                <w:rPr>
                  <w:rFonts w:ascii="Arial" w:cs="Arial" w:eastAsia="Arial" w:hAnsi="Arial"/>
                  <w:sz w:val="18"/>
                  <w:szCs w:val="18"/>
                  <w:color w:val="0000EE"/>
                </w:rPr>
                <w:t>Collaborative Development and License Agreement between the</w:t>
              </w:r>
            </w:hyperlink>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47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Company and Abbott Laboratories, dated November 27, 2006; as</w:t>
              </w:r>
            </w:hyperlink>
          </w:p>
        </w:tc>
        <w:tc>
          <w:tcPr>
            <w:tcW w:w="600" w:type="dxa"/>
            <w:vAlign w:val="bottom"/>
            <w:gridSpan w:val="9"/>
          </w:tcPr>
          <w:p>
            <w:pPr>
              <w:spacing w:after="0"/>
              <w:rPr>
                <w:sz w:val="17"/>
                <w:szCs w:val="17"/>
                <w:color w:val="auto"/>
              </w:rPr>
            </w:pPr>
          </w:p>
        </w:tc>
        <w:tc>
          <w:tcPr>
            <w:tcW w:w="9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02/05/2021</w:t>
            </w: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18"/>
          </w:tcPr>
          <w:p>
            <w:pPr>
              <w:spacing w:after="0" w:line="196" w:lineRule="exact"/>
              <w:rPr>
                <w:rFonts w:ascii="Arial" w:cs="Arial" w:eastAsia="Arial" w:hAnsi="Arial"/>
                <w:sz w:val="18"/>
                <w:szCs w:val="18"/>
                <w:color w:val="0000EE"/>
                <w:w w:val="99"/>
              </w:rPr>
            </w:pPr>
            <w:hyperlink r:id="rId77">
              <w:r>
                <w:rPr>
                  <w:rFonts w:ascii="Arial" w:cs="Arial" w:eastAsia="Arial" w:hAnsi="Arial"/>
                  <w:sz w:val="18"/>
                  <w:szCs w:val="18"/>
                  <w:color w:val="0000EE"/>
                  <w:w w:val="99"/>
                </w:rPr>
                <w:t>amended by a First Amendment to Collaborative Development and</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18"/>
          </w:tcPr>
          <w:p>
            <w:pPr>
              <w:spacing w:after="0" w:line="196" w:lineRule="exact"/>
              <w:rPr>
                <w:rFonts w:ascii="Arial" w:cs="Arial" w:eastAsia="Arial" w:hAnsi="Arial"/>
                <w:sz w:val="18"/>
                <w:szCs w:val="18"/>
                <w:color w:val="0000EE"/>
                <w:w w:val="93"/>
              </w:rPr>
            </w:pPr>
            <w:hyperlink r:id="rId77">
              <w:r>
                <w:rPr>
                  <w:rFonts w:ascii="Arial" w:cs="Arial" w:eastAsia="Arial" w:hAnsi="Arial"/>
                  <w:sz w:val="18"/>
                  <w:szCs w:val="18"/>
                  <w:color w:val="0000EE"/>
                  <w:w w:val="93"/>
                </w:rPr>
                <w:t>License Agreement dated January 27, 2009 and a Second Amendment</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to Collaborative Development and License Agreement dated December</w:t>
              </w:r>
            </w:hyperlink>
          </w:p>
        </w:tc>
        <w:tc>
          <w:tcPr>
            <w:tcW w:w="1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18"/>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9, 2009 (assigned to AbbVie Inc. as of January 1, 2013).</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Borders>
              <w:bottom w:val="single" w:sz="8" w:color="0000EE"/>
            </w:tcBorders>
            <w:gridSpan w:val="7"/>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Third Amendment to Collaborative Development and License</w:t>
              </w:r>
            </w:hyperlink>
          </w:p>
        </w:tc>
        <w:tc>
          <w:tcPr>
            <w:tcW w:w="84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spacing w:after="0"/>
              <w:rPr>
                <w:sz w:val="20"/>
                <w:szCs w:val="20"/>
                <w:color w:val="auto"/>
              </w:rPr>
            </w:pPr>
            <w:r>
              <w:rPr>
                <w:rFonts w:ascii="Arial" w:cs="Arial" w:eastAsia="Arial" w:hAnsi="Arial"/>
                <w:sz w:val="18"/>
                <w:szCs w:val="18"/>
                <w:color w:val="auto"/>
              </w:rPr>
              <w:t>10.2†</w:t>
            </w:r>
          </w:p>
        </w:tc>
        <w:tc>
          <w:tcPr>
            <w:tcW w:w="5320" w:type="dxa"/>
            <w:vAlign w:val="bottom"/>
            <w:gridSpan w:val="18"/>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Agreement between the Company and AbbVie dated October 20, 2014.</w:t>
              </w:r>
            </w:hyperlink>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02/05/2021</w:t>
            </w:r>
          </w:p>
        </w:tc>
        <w:tc>
          <w:tcPr>
            <w:tcW w:w="10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00" w:type="dxa"/>
            <w:vAlign w:val="bottom"/>
            <w:gridSpan w:val="2"/>
            <w:vMerge w:val="continue"/>
          </w:tcPr>
          <w:p>
            <w:pPr>
              <w:spacing w:after="0"/>
              <w:rPr>
                <w:sz w:val="20"/>
                <w:szCs w:val="20"/>
                <w:color w:val="auto"/>
              </w:rPr>
            </w:pPr>
          </w:p>
        </w:tc>
        <w:tc>
          <w:tcPr>
            <w:tcW w:w="25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5320" w:type="dxa"/>
            <w:vAlign w:val="bottom"/>
            <w:gridSpan w:val="18"/>
          </w:tcPr>
          <w:p>
            <w:pPr>
              <w:spacing w:after="0"/>
              <w:rPr>
                <w:rFonts w:ascii="Arial" w:cs="Arial" w:eastAsia="Arial" w:hAnsi="Arial"/>
                <w:sz w:val="18"/>
                <w:szCs w:val="18"/>
                <w:color w:val="0000EE"/>
              </w:rPr>
            </w:pPr>
            <w:hyperlink r:id="rId79">
              <w:r>
                <w:rPr>
                  <w:rFonts w:ascii="Arial" w:cs="Arial" w:eastAsia="Arial" w:hAnsi="Arial"/>
                  <w:sz w:val="18"/>
                  <w:szCs w:val="18"/>
                  <w:color w:val="0000EE"/>
                </w:rPr>
                <w:t>2019 Equity Incentive Plan (As amended March 2021)</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03/05/2021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5320" w:type="dxa"/>
            <w:vAlign w:val="bottom"/>
            <w:gridSpan w:val="18"/>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Certification of the Chief Executive Officer pursuant to Rule 13a-14(a)</w:t>
              </w:r>
            </w:hyperlink>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or 15d-14(a) of the Securities Exchange Act of 1934.</w:t>
              </w:r>
            </w:hyperlink>
          </w:p>
        </w:tc>
        <w:tc>
          <w:tcPr>
            <w:tcW w:w="20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5320" w:type="dxa"/>
            <w:vAlign w:val="bottom"/>
            <w:gridSpan w:val="18"/>
          </w:tcPr>
          <w:p>
            <w:pPr>
              <w:spacing w:after="0"/>
              <w:rPr>
                <w:rFonts w:ascii="Arial" w:cs="Arial" w:eastAsia="Arial" w:hAnsi="Arial"/>
                <w:sz w:val="18"/>
                <w:szCs w:val="18"/>
                <w:color w:val="0000EE"/>
                <w:w w:val="98"/>
              </w:rPr>
            </w:pPr>
            <w:hyperlink w:anchor="page55">
              <w:r>
                <w:rPr>
                  <w:rFonts w:ascii="Arial" w:cs="Arial" w:eastAsia="Arial" w:hAnsi="Arial"/>
                  <w:sz w:val="18"/>
                  <w:szCs w:val="18"/>
                  <w:color w:val="0000EE"/>
                  <w:w w:val="98"/>
                </w:rPr>
                <w:t>Certification of Chief Financial Officer pursuant to Rule 13a-14(a) or</w:t>
              </w:r>
            </w:hyperlink>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15d-14(a) of the Securities Exchange Act of 1934.</w:t>
              </w:r>
            </w:hyperlink>
          </w:p>
        </w:tc>
        <w:tc>
          <w:tcPr>
            <w:tcW w:w="1420" w:type="dxa"/>
            <w:vAlign w:val="bottom"/>
            <w:tcBorders>
              <w:top w:val="single" w:sz="8" w:color="0000EE"/>
            </w:tcBorders>
            <w:gridSpan w:val="9"/>
          </w:tcPr>
          <w:p>
            <w:pPr>
              <w:spacing w:after="0"/>
              <w:rPr>
                <w:sz w:val="17"/>
                <w:szCs w:val="17"/>
                <w:color w:val="auto"/>
              </w:rPr>
            </w:pPr>
          </w:p>
        </w:tc>
        <w:tc>
          <w:tcPr>
            <w:tcW w:w="26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518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Certification of the Chief Executive Officer and Chief Financial Officer</w:t>
              </w:r>
            </w:hyperlink>
          </w:p>
        </w:tc>
        <w:tc>
          <w:tcPr>
            <w:tcW w:w="140" w:type="dxa"/>
            <w:vAlign w:val="bottom"/>
            <w:gridSpan w:val="2"/>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pursuant to 18 U.S.C. Section 1350, as adopted pursuant to Section 906</w:t>
              </w:r>
            </w:hyperlink>
          </w:p>
        </w:tc>
        <w:tc>
          <w:tcPr>
            <w:tcW w:w="1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1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of the Sarbanes-Oxley Act of 2002.</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760" w:type="dxa"/>
            <w:vAlign w:val="bottom"/>
            <w:gridSpan w:val="1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5320" w:type="dxa"/>
            <w:vAlign w:val="bottom"/>
            <w:gridSpan w:val="18"/>
          </w:tcPr>
          <w:p>
            <w:pPr>
              <w:spacing w:after="0"/>
              <w:rPr>
                <w:sz w:val="20"/>
                <w:szCs w:val="20"/>
                <w:color w:val="auto"/>
              </w:rPr>
            </w:pPr>
            <w:r>
              <w:rPr>
                <w:rFonts w:ascii="Arial" w:cs="Arial" w:eastAsia="Arial" w:hAnsi="Arial"/>
                <w:sz w:val="18"/>
                <w:szCs w:val="18"/>
                <w:color w:val="auto"/>
                <w:w w:val="94"/>
              </w:rPr>
              <w:t>The following financial statements from the Quarterly Report of Enanta</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8"/>
          </w:tcPr>
          <w:p>
            <w:pPr>
              <w:spacing w:after="0"/>
              <w:rPr>
                <w:sz w:val="20"/>
                <w:szCs w:val="20"/>
                <w:color w:val="auto"/>
              </w:rPr>
            </w:pPr>
            <w:r>
              <w:rPr>
                <w:rFonts w:ascii="Arial" w:cs="Arial" w:eastAsia="Arial" w:hAnsi="Arial"/>
                <w:sz w:val="18"/>
                <w:szCs w:val="18"/>
                <w:color w:val="auto"/>
                <w:w w:val="96"/>
              </w:rPr>
              <w:t>Pharmaceuticals, Inc. on Form 10-Q for the quarter ended March 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8"/>
          </w:tcPr>
          <w:p>
            <w:pPr>
              <w:spacing w:after="0"/>
              <w:rPr>
                <w:sz w:val="20"/>
                <w:szCs w:val="20"/>
                <w:color w:val="auto"/>
              </w:rPr>
            </w:pPr>
            <w:r>
              <w:rPr>
                <w:rFonts w:ascii="Arial" w:cs="Arial" w:eastAsia="Arial" w:hAnsi="Arial"/>
                <w:sz w:val="18"/>
                <w:szCs w:val="18"/>
                <w:color w:val="auto"/>
                <w:w w:val="97"/>
              </w:rPr>
              <w:t>2021, formatted in Inline XBRL: (i) Consolidated Balance Sheets, (ii)</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8"/>
          </w:tcPr>
          <w:p>
            <w:pPr>
              <w:spacing w:after="0"/>
              <w:rPr>
                <w:sz w:val="20"/>
                <w:szCs w:val="20"/>
                <w:color w:val="auto"/>
              </w:rPr>
            </w:pPr>
            <w:r>
              <w:rPr>
                <w:rFonts w:ascii="Arial" w:cs="Arial" w:eastAsia="Arial" w:hAnsi="Arial"/>
                <w:sz w:val="18"/>
                <w:szCs w:val="18"/>
                <w:color w:val="auto"/>
                <w:w w:val="92"/>
              </w:rPr>
              <w:t>Consolidated Statements of Operations, (iii) Consolidated Statements of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8"/>
          </w:tcPr>
          <w:p>
            <w:pPr>
              <w:spacing w:after="0"/>
              <w:rPr>
                <w:sz w:val="20"/>
                <w:szCs w:val="20"/>
                <w:color w:val="auto"/>
              </w:rPr>
            </w:pPr>
            <w:r>
              <w:rPr>
                <w:rFonts w:ascii="Arial" w:cs="Arial" w:eastAsia="Arial" w:hAnsi="Arial"/>
                <w:sz w:val="18"/>
                <w:szCs w:val="18"/>
                <w:color w:val="auto"/>
                <w:w w:val="93"/>
              </w:rPr>
              <w:t>Comprehensive Income, (iv) Consolidated Statements of Stockholders’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8"/>
          </w:tcPr>
          <w:p>
            <w:pPr>
              <w:spacing w:after="0"/>
              <w:rPr>
                <w:sz w:val="20"/>
                <w:szCs w:val="20"/>
                <w:color w:val="auto"/>
              </w:rPr>
            </w:pPr>
            <w:r>
              <w:rPr>
                <w:rFonts w:ascii="Arial" w:cs="Arial" w:eastAsia="Arial" w:hAnsi="Arial"/>
                <w:sz w:val="18"/>
                <w:szCs w:val="18"/>
                <w:color w:val="auto"/>
                <w:w w:val="96"/>
              </w:rPr>
              <w:t>Equity, (v) Consolidated Statements of Cash Flows, (vi) and Notes to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8"/>
          </w:tcPr>
          <w:p>
            <w:pPr>
              <w:spacing w:after="0"/>
              <w:rPr>
                <w:sz w:val="20"/>
                <w:szCs w:val="20"/>
                <w:color w:val="auto"/>
              </w:rPr>
            </w:pPr>
            <w:r>
              <w:rPr>
                <w:rFonts w:ascii="Arial" w:cs="Arial" w:eastAsia="Arial" w:hAnsi="Arial"/>
                <w:sz w:val="18"/>
                <w:szCs w:val="18"/>
                <w:color w:val="auto"/>
              </w:rPr>
              <w:t>Consolidated Financial Statements, tagged as blocks of text and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18"/>
          </w:tcPr>
          <w:p>
            <w:pPr>
              <w:spacing w:after="0"/>
              <w:rPr>
                <w:sz w:val="20"/>
                <w:szCs w:val="20"/>
                <w:color w:val="auto"/>
              </w:rPr>
            </w:pPr>
            <w:r>
              <w:rPr>
                <w:rFonts w:ascii="Arial" w:cs="Arial" w:eastAsia="Arial" w:hAnsi="Arial"/>
                <w:sz w:val="18"/>
                <w:szCs w:val="18"/>
                <w:color w:val="auto"/>
              </w:rPr>
              <w:t>including detailed tags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5320" w:type="dxa"/>
            <w:vAlign w:val="bottom"/>
            <w:gridSpan w:val="18"/>
          </w:tcPr>
          <w:p>
            <w:pPr>
              <w:spacing w:after="0"/>
              <w:rPr>
                <w:sz w:val="20"/>
                <w:szCs w:val="20"/>
                <w:color w:val="auto"/>
              </w:rPr>
            </w:pPr>
            <w:r>
              <w:rPr>
                <w:rFonts w:ascii="Arial" w:cs="Arial" w:eastAsia="Arial" w:hAnsi="Arial"/>
                <w:sz w:val="18"/>
                <w:szCs w:val="18"/>
                <w:color w:val="212529"/>
              </w:rPr>
              <w:t>Cover Page Interactive Data File (formatted as Inline XBRL and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18"/>
          </w:tcPr>
          <w:p>
            <w:pPr>
              <w:spacing w:after="0"/>
              <w:rPr>
                <w:sz w:val="20"/>
                <w:szCs w:val="20"/>
                <w:color w:val="auto"/>
              </w:rPr>
            </w:pPr>
            <w:r>
              <w:rPr>
                <w:rFonts w:ascii="Arial" w:cs="Arial" w:eastAsia="Arial" w:hAnsi="Arial"/>
                <w:sz w:val="18"/>
                <w:szCs w:val="18"/>
                <w:color w:val="212529"/>
              </w:rPr>
              <w:t>contained in Exhibit 101).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40" w:firstLine="8"/>
        <w:spacing w:after="0" w:line="277" w:lineRule="auto"/>
        <w:tabs>
          <w:tab w:leader="none" w:pos="1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The Company has determined that such omitted information is (i) not material and (ii) would likely cause competitive harm to the Company if publicly disclosed.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553"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March 31, 2021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Dated: May 10, 2021</w:t>
            </w:r>
          </w:p>
        </w:tc>
        <w:tc>
          <w:tcPr>
            <w:tcW w:w="3060" w:type="dxa"/>
            <w:vAlign w:val="bottom"/>
          </w:tcPr>
          <w:p>
            <w:pPr>
              <w:ind w:left="26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Dated: May 10, 2021</w:t>
            </w:r>
          </w:p>
        </w:tc>
        <w:tc>
          <w:tcPr>
            <w:tcW w:w="3060" w:type="dxa"/>
            <w:vAlign w:val="bottom"/>
          </w:tcPr>
          <w:p>
            <w:pPr>
              <w:ind w:left="26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5"/>
    </w:lvl>
  </w:abstractNum>
  <w:abstractNum w:abstractNumId="7">
    <w:nsid w:val="2CA88611"/>
    <w:multiLevelType w:val="hybridMultilevel"/>
    <w:lvl w:ilvl="0">
      <w:lvlJc w:val="left"/>
      <w:lvlText w:val="%1."/>
      <w:numFmt w:val="decimal"/>
      <w:start w:val="6"/>
    </w:lvl>
  </w:abstractNum>
  <w:abstractNum w:abstractNumId="8">
    <w:nsid w:val="836C40E"/>
    <w:multiLevelType w:val="hybridMultilevel"/>
    <w:lvl w:ilvl="0">
      <w:lvlJc w:val="left"/>
      <w:lvlText w:val="%1."/>
      <w:numFmt w:val="decimal"/>
      <w:start w:val="7"/>
    </w:lvl>
  </w:abstractNum>
  <w:abstractNum w:abstractNumId="9">
    <w:nsid w:val="2901D82"/>
    <w:multiLevelType w:val="hybridMultilevel"/>
    <w:lvl w:ilvl="0">
      <w:lvlJc w:val="left"/>
      <w:lvlText w:val="%1."/>
      <w:numFmt w:val="decimal"/>
      <w:start w:val="8"/>
    </w:lvl>
  </w:abstractNum>
  <w:abstractNum w:abstractNumId="10">
    <w:nsid w:val="3A95F874"/>
    <w:multiLevelType w:val="hybridMultilevel"/>
    <w:lvl w:ilvl="0">
      <w:lvlJc w:val="left"/>
      <w:lvlText w:val="%1."/>
      <w:numFmt w:val="decimal"/>
      <w:start w:val="9"/>
    </w:lvl>
  </w:abstractNum>
  <w:abstractNum w:abstractNumId="11">
    <w:nsid w:val="8138641"/>
    <w:multiLevelType w:val="hybridMultilevel"/>
    <w:lvl w:ilvl="0">
      <w:lvlJc w:val="left"/>
      <w:lvlText w:val="%1."/>
      <w:numFmt w:val="decimal"/>
      <w:start w:val="10"/>
    </w:lvl>
  </w:abstractNum>
  <w:abstractNum w:abstractNumId="12">
    <w:nsid w:val="1E7FF521"/>
    <w:multiLevelType w:val="hybridMultilevel"/>
    <w:lvl w:ilvl="0">
      <w:lvlJc w:val="left"/>
      <w:lvlText w:val="%1."/>
      <w:numFmt w:val="decimal"/>
      <w:start w:val="1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lvl w:ilvl="1">
      <w:lvlJc w:val="left"/>
      <w:lvlText w:val="o"/>
      <w:numFmt w:val="bullet"/>
      <w:start w:val="1"/>
    </w:lvl>
  </w:abstractNum>
  <w:abstractNum w:abstractNumId="16">
    <w:nsid w:val="22221A70"/>
    <w:multiLevelType w:val="hybridMultilevel"/>
    <w:lvl w:ilvl="0">
      <w:lvlJc w:val="left"/>
      <w:lvlText w:val="•"/>
      <w:numFmt w:val="bullet"/>
      <w:start w:val="1"/>
    </w:lvl>
    <w:lvl w:ilvl="1">
      <w:lvlJc w:val="left"/>
      <w:lvlText w:val="o"/>
      <w:numFmt w:val="bullet"/>
      <w:start w:val="1"/>
    </w:lvl>
  </w:abstractNum>
  <w:abstractNum w:abstractNumId="17">
    <w:nsid w:val="4516DDE9"/>
    <w:multiLevelType w:val="hybridMultilevel"/>
    <w:lvl w:ilvl="0">
      <w:lvlJc w:val="left"/>
      <w:lvlText w:val="o"/>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lowerLetter"/>
      <w:start w:val="2"/>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75" Type="http://schemas.openxmlformats.org/officeDocument/2006/relationships/hyperlink" Target="http://www.sec.gov/Archives/edgar/data/1177648/000119312513132679/d511662dex31.htm" TargetMode="External"/><Relationship Id="rId76" Type="http://schemas.openxmlformats.org/officeDocument/2006/relationships/hyperlink" Target="http://www.sec.gov/Archives/edgar/data/1177648/000119312515294582/d95810dex32.htm" TargetMode="External"/><Relationship Id="rId77" Type="http://schemas.openxmlformats.org/officeDocument/2006/relationships/hyperlink" Target="http://www.sec.gov/Archives/edgar/data/0001177648/000156459021004518/enta-ex101_25.htm" TargetMode="External"/><Relationship Id="rId78" Type="http://schemas.openxmlformats.org/officeDocument/2006/relationships/hyperlink" Target="http://www.sec.gov/Archives/edgar/data/0001177648/000156459021004518/enta-ex102_24.htm" TargetMode="External"/><Relationship Id="rId79" Type="http://schemas.openxmlformats.org/officeDocument/2006/relationships/hyperlink" Target="http://www.sec.gov/Archives/edgar/data/1177648/000156459021011253/enta-ex101_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2021-05-10T15:15:07Z</dcterms:created>
  <dcterms:modified xsi:type="dcterms:W3CDTF">2021-05-10T15:15:07Z</dcterms:modified>
</cp:coreProperties>
</file>